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45BF" w14:textId="4419D059" w:rsidR="004C231C" w:rsidRPr="00FC619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A42E24">
        <w:rPr>
          <w:rFonts w:ascii="Verdana" w:hAnsi="Verdana"/>
          <w:sz w:val="22"/>
        </w:rPr>
        <w:t xml:space="preserve">Presseinformation </w:t>
      </w:r>
      <w:r w:rsidR="00A42E24">
        <w:rPr>
          <w:rFonts w:ascii="Verdana" w:hAnsi="Verdana"/>
          <w:sz w:val="22"/>
        </w:rPr>
        <w:t>04</w:t>
      </w:r>
      <w:r w:rsidRPr="00A42E24">
        <w:rPr>
          <w:rFonts w:ascii="Verdana" w:hAnsi="Verdana"/>
          <w:sz w:val="22"/>
        </w:rPr>
        <w:t>/201</w:t>
      </w:r>
      <w:r w:rsidR="0031761E" w:rsidRPr="00A42E24">
        <w:rPr>
          <w:rFonts w:ascii="Verdana" w:hAnsi="Verdana"/>
          <w:sz w:val="22"/>
        </w:rPr>
        <w:t>9</w:t>
      </w:r>
      <w:r w:rsidRPr="00FC6193">
        <w:rPr>
          <w:rFonts w:ascii="Verdana" w:hAnsi="Verdana"/>
          <w:sz w:val="22"/>
        </w:rPr>
        <w:t xml:space="preserve"> </w:t>
      </w:r>
    </w:p>
    <w:p w14:paraId="7F395925" w14:textId="77777777" w:rsidR="004C231C" w:rsidRPr="00FC6193" w:rsidRDefault="004C231C" w:rsidP="004C231C">
      <w:pPr>
        <w:jc w:val="both"/>
        <w:rPr>
          <w:rFonts w:ascii="Verdana" w:hAnsi="Verdana" w:cs="Arial"/>
        </w:rPr>
      </w:pPr>
    </w:p>
    <w:p w14:paraId="561DD973" w14:textId="77777777" w:rsidR="004C231C" w:rsidRPr="00FC6193" w:rsidRDefault="004C231C" w:rsidP="004C231C">
      <w:pPr>
        <w:jc w:val="both"/>
        <w:rPr>
          <w:rFonts w:ascii="Verdana" w:hAnsi="Verdana" w:cs="Arial"/>
        </w:rPr>
      </w:pPr>
    </w:p>
    <w:p w14:paraId="522BF81A" w14:textId="680E4A4E" w:rsidR="004C231C" w:rsidRPr="00FC6193" w:rsidRDefault="00211804" w:rsidP="004C231C">
      <w:pPr>
        <w:ind w:right="2268"/>
        <w:jc w:val="both"/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b/>
          <w:sz w:val="22"/>
        </w:rPr>
        <w:t>t</w:t>
      </w:r>
      <w:r w:rsidR="004C231C" w:rsidRPr="00FC6193">
        <w:rPr>
          <w:rFonts w:ascii="Verdana" w:hAnsi="Verdana" w:cs="Arial"/>
          <w:b/>
          <w:sz w:val="22"/>
        </w:rPr>
        <w:t>ecalor</w:t>
      </w:r>
      <w:proofErr w:type="spellEnd"/>
      <w:r w:rsidR="004C231C" w:rsidRPr="00FC6193">
        <w:rPr>
          <w:rFonts w:ascii="Verdana" w:hAnsi="Verdana" w:cs="Arial"/>
          <w:b/>
          <w:sz w:val="22"/>
        </w:rPr>
        <w:t xml:space="preserve"> GmbH, Holzminden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04F62D26" w14:textId="377FE6B3" w:rsidR="0016185A" w:rsidRPr="0016185A" w:rsidRDefault="00C623DB" w:rsidP="0016185A">
      <w:pPr>
        <w:ind w:right="2268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Alter Kessel, neue Wärmepumpe</w:t>
      </w:r>
    </w:p>
    <w:p w14:paraId="732EBDAE" w14:textId="77777777" w:rsidR="0016185A" w:rsidRDefault="0016185A" w:rsidP="0031761E">
      <w:pPr>
        <w:ind w:right="2268"/>
        <w:rPr>
          <w:rFonts w:ascii="Verdana" w:hAnsi="Verdana" w:cs="Arial"/>
          <w:b/>
          <w:sz w:val="26"/>
          <w:szCs w:val="28"/>
        </w:rPr>
      </w:pPr>
    </w:p>
    <w:p w14:paraId="1BE48634" w14:textId="77777777" w:rsidR="004C231C" w:rsidRPr="00FC6193" w:rsidRDefault="004C231C" w:rsidP="004C231C">
      <w:pPr>
        <w:rPr>
          <w:rStyle w:val="Fett"/>
        </w:rPr>
      </w:pPr>
    </w:p>
    <w:p w14:paraId="33B586D1" w14:textId="2E807643" w:rsidR="0016185A" w:rsidRPr="0016185A" w:rsidRDefault="0016185A" w:rsidP="0016185A">
      <w:pPr>
        <w:ind w:right="2268"/>
        <w:rPr>
          <w:rStyle w:val="Fett"/>
          <w:rFonts w:ascii="Verdana" w:hAnsi="Verdana" w:cs="Arial"/>
          <w:sz w:val="22"/>
          <w:szCs w:val="22"/>
        </w:rPr>
      </w:pPr>
      <w:r w:rsidRPr="0016185A">
        <w:rPr>
          <w:rStyle w:val="Fett"/>
          <w:rFonts w:ascii="Verdana" w:hAnsi="Verdana" w:cs="Arial"/>
          <w:sz w:val="22"/>
          <w:szCs w:val="22"/>
        </w:rPr>
        <w:t>Das neue Hydraulikmodul THMH steigert die Leistungsfähigkeit der Luft-Wasser-Wärmepumpen</w:t>
      </w:r>
      <w:r w:rsidR="001623F6">
        <w:rPr>
          <w:rStyle w:val="Fett"/>
          <w:rFonts w:ascii="Verdana" w:hAnsi="Verdana" w:cs="Arial"/>
          <w:sz w:val="22"/>
          <w:szCs w:val="22"/>
        </w:rPr>
        <w:t xml:space="preserve"> </w:t>
      </w:r>
      <w:r w:rsidR="00F05792" w:rsidRPr="00F05792">
        <w:rPr>
          <w:rStyle w:val="Fett"/>
          <w:rFonts w:ascii="Verdana" w:hAnsi="Verdana" w:cs="Arial"/>
          <w:sz w:val="22"/>
          <w:szCs w:val="22"/>
        </w:rPr>
        <w:t>TTL 3.5/4.5/6.5/8.5 ACS</w:t>
      </w:r>
      <w:r w:rsidR="00F05792" w:rsidRPr="0016185A">
        <w:rPr>
          <w:rStyle w:val="Fett"/>
          <w:rFonts w:ascii="Verdana" w:hAnsi="Verdana" w:cs="Arial"/>
          <w:sz w:val="22"/>
          <w:szCs w:val="22"/>
        </w:rPr>
        <w:t xml:space="preserve"> </w:t>
      </w:r>
      <w:r w:rsidRPr="0016185A">
        <w:rPr>
          <w:rStyle w:val="Fett"/>
          <w:rFonts w:ascii="Verdana" w:hAnsi="Verdana" w:cs="Arial"/>
          <w:sz w:val="22"/>
          <w:szCs w:val="22"/>
        </w:rPr>
        <w:t xml:space="preserve">von </w:t>
      </w:r>
      <w:proofErr w:type="spellStart"/>
      <w:r w:rsidRPr="0016185A"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 w:rsidRPr="0016185A">
        <w:rPr>
          <w:rStyle w:val="Fett"/>
          <w:rFonts w:ascii="Verdana" w:hAnsi="Verdana" w:cs="Arial"/>
          <w:sz w:val="22"/>
          <w:szCs w:val="22"/>
        </w:rPr>
        <w:t xml:space="preserve"> und ermöglicht </w:t>
      </w:r>
      <w:r w:rsidR="00C623DB">
        <w:rPr>
          <w:rStyle w:val="Fett"/>
          <w:rFonts w:ascii="Verdana" w:hAnsi="Verdana" w:cs="Arial"/>
          <w:sz w:val="22"/>
          <w:szCs w:val="22"/>
        </w:rPr>
        <w:t xml:space="preserve">eine bivalente Heizungsanlage </w:t>
      </w:r>
    </w:p>
    <w:p w14:paraId="12E3EC1A" w14:textId="77777777"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14:paraId="729AF883" w14:textId="4D8DA7CC" w:rsidR="0016185A" w:rsidRDefault="0016185A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pacing w:val="-2"/>
          <w:sz w:val="22"/>
          <w:szCs w:val="22"/>
        </w:rPr>
      </w:pPr>
      <w:r w:rsidRPr="0016185A">
        <w:rPr>
          <w:rFonts w:ascii="Verdana" w:hAnsi="Verdana" w:cs="Arial"/>
          <w:spacing w:val="-2"/>
          <w:sz w:val="22"/>
          <w:szCs w:val="22"/>
        </w:rPr>
        <w:t xml:space="preserve">Waren die Luft-Wasser-Wärmepumpen </w:t>
      </w:r>
      <w:r w:rsidR="00F05792" w:rsidRPr="00F05792">
        <w:rPr>
          <w:rFonts w:ascii="Verdana" w:hAnsi="Verdana" w:cs="Arial"/>
          <w:spacing w:val="-2"/>
          <w:sz w:val="22"/>
          <w:szCs w:val="22"/>
        </w:rPr>
        <w:t>TTL 3.5/4.5/6.5/8.5 ACS</w:t>
      </w:r>
      <w:r w:rsidR="00F05792" w:rsidRPr="0016185A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16185A">
        <w:rPr>
          <w:rFonts w:ascii="Verdana" w:hAnsi="Verdana" w:cs="Arial"/>
          <w:spacing w:val="-2"/>
          <w:sz w:val="22"/>
          <w:szCs w:val="22"/>
        </w:rPr>
        <w:t xml:space="preserve">von </w:t>
      </w:r>
      <w:proofErr w:type="spellStart"/>
      <w:r w:rsidRPr="0016185A">
        <w:rPr>
          <w:rFonts w:ascii="Verdana" w:hAnsi="Verdana" w:cs="Arial"/>
          <w:spacing w:val="-2"/>
          <w:sz w:val="22"/>
          <w:szCs w:val="22"/>
        </w:rPr>
        <w:t>tecalor</w:t>
      </w:r>
      <w:proofErr w:type="spellEnd"/>
      <w:r w:rsidRPr="0016185A">
        <w:rPr>
          <w:rFonts w:ascii="Verdana" w:hAnsi="Verdana" w:cs="Arial"/>
          <w:spacing w:val="-2"/>
          <w:sz w:val="22"/>
          <w:szCs w:val="22"/>
        </w:rPr>
        <w:t xml:space="preserve"> bisher vor allem für den Neubau eingesetzt worden, </w:t>
      </w:r>
      <w:r>
        <w:rPr>
          <w:rFonts w:ascii="Verdana" w:hAnsi="Verdana" w:cs="Arial"/>
          <w:spacing w:val="-2"/>
          <w:sz w:val="22"/>
          <w:szCs w:val="22"/>
        </w:rPr>
        <w:t>eignen sie sich</w:t>
      </w:r>
      <w:r w:rsidRPr="0016185A">
        <w:rPr>
          <w:rFonts w:ascii="Verdana" w:hAnsi="Verdana" w:cs="Arial"/>
          <w:spacing w:val="-2"/>
          <w:sz w:val="22"/>
          <w:szCs w:val="22"/>
        </w:rPr>
        <w:t xml:space="preserve"> mit dem Hydraulikmodul THMH auch für </w:t>
      </w:r>
      <w:r w:rsidR="008C66E3">
        <w:rPr>
          <w:rFonts w:ascii="Verdana" w:hAnsi="Verdana" w:cs="Arial"/>
          <w:spacing w:val="-2"/>
          <w:sz w:val="22"/>
          <w:szCs w:val="22"/>
        </w:rPr>
        <w:t xml:space="preserve">bestehenden </w:t>
      </w:r>
      <w:r w:rsidRPr="0016185A">
        <w:rPr>
          <w:rFonts w:ascii="Verdana" w:hAnsi="Verdana" w:cs="Arial"/>
          <w:spacing w:val="-2"/>
          <w:sz w:val="22"/>
          <w:szCs w:val="22"/>
        </w:rPr>
        <w:t>Gebäude</w:t>
      </w:r>
      <w:r w:rsidR="008C66E3">
        <w:rPr>
          <w:rFonts w:ascii="Verdana" w:hAnsi="Verdana" w:cs="Arial"/>
          <w:spacing w:val="-2"/>
          <w:sz w:val="22"/>
          <w:szCs w:val="22"/>
        </w:rPr>
        <w:t>, wenn die vorhandene Heizungsanlage erweitert werden soll</w:t>
      </w:r>
      <w:r w:rsidRPr="0016185A">
        <w:rPr>
          <w:rFonts w:ascii="Verdana" w:hAnsi="Verdana" w:cs="Arial"/>
          <w:spacing w:val="-2"/>
          <w:sz w:val="22"/>
          <w:szCs w:val="22"/>
        </w:rPr>
        <w:t>. D</w:t>
      </w:r>
      <w:r w:rsidR="008C66E3">
        <w:rPr>
          <w:rFonts w:ascii="Verdana" w:hAnsi="Verdana" w:cs="Arial"/>
          <w:spacing w:val="-2"/>
          <w:sz w:val="22"/>
          <w:szCs w:val="22"/>
        </w:rPr>
        <w:t>as</w:t>
      </w:r>
      <w:r w:rsidRPr="0016185A">
        <w:rPr>
          <w:rFonts w:ascii="Verdana" w:hAnsi="Verdana" w:cs="Arial"/>
          <w:spacing w:val="-2"/>
          <w:sz w:val="22"/>
          <w:szCs w:val="22"/>
        </w:rPr>
        <w:t xml:space="preserve"> Hydraulikmodul steigert die Gesamteffizienz </w:t>
      </w:r>
      <w:r w:rsidR="00890A9A">
        <w:rPr>
          <w:rFonts w:ascii="Verdana" w:hAnsi="Verdana" w:cs="Arial"/>
          <w:spacing w:val="-2"/>
          <w:sz w:val="22"/>
          <w:szCs w:val="22"/>
        </w:rPr>
        <w:t xml:space="preserve">von bestehenden </w:t>
      </w:r>
      <w:r w:rsidRPr="0016185A">
        <w:rPr>
          <w:rFonts w:ascii="Verdana" w:hAnsi="Verdana" w:cs="Arial"/>
          <w:spacing w:val="-2"/>
          <w:sz w:val="22"/>
          <w:szCs w:val="22"/>
        </w:rPr>
        <w:t>Anlage</w:t>
      </w:r>
      <w:r w:rsidR="00890A9A">
        <w:rPr>
          <w:rFonts w:ascii="Verdana" w:hAnsi="Verdana" w:cs="Arial"/>
          <w:spacing w:val="-2"/>
          <w:sz w:val="22"/>
          <w:szCs w:val="22"/>
        </w:rPr>
        <w:t>n</w:t>
      </w:r>
      <w:r w:rsidRPr="0016185A">
        <w:rPr>
          <w:rFonts w:ascii="Verdana" w:hAnsi="Verdana" w:cs="Arial"/>
          <w:spacing w:val="-2"/>
          <w:sz w:val="22"/>
          <w:szCs w:val="22"/>
        </w:rPr>
        <w:t xml:space="preserve"> durch die hybride Einbindung der Luft-Wasser-Wärmepumpen. Dank des Funktionsumfangs des Moduls ist </w:t>
      </w:r>
      <w:r w:rsidR="00F05792">
        <w:rPr>
          <w:rFonts w:ascii="Verdana" w:hAnsi="Verdana" w:cs="Arial"/>
          <w:spacing w:val="-2"/>
          <w:sz w:val="22"/>
          <w:szCs w:val="22"/>
        </w:rPr>
        <w:t xml:space="preserve">zum Beispiel </w:t>
      </w:r>
      <w:r w:rsidRPr="0016185A">
        <w:rPr>
          <w:rFonts w:ascii="Verdana" w:hAnsi="Verdana" w:cs="Arial"/>
          <w:spacing w:val="-2"/>
          <w:sz w:val="22"/>
          <w:szCs w:val="22"/>
        </w:rPr>
        <w:t>eine einfach</w:t>
      </w:r>
      <w:r w:rsidR="00F05792">
        <w:rPr>
          <w:rFonts w:ascii="Verdana" w:hAnsi="Verdana" w:cs="Arial"/>
          <w:spacing w:val="-2"/>
          <w:sz w:val="22"/>
          <w:szCs w:val="22"/>
        </w:rPr>
        <w:t>e</w:t>
      </w:r>
      <w:r w:rsidRPr="0016185A">
        <w:rPr>
          <w:rFonts w:ascii="Verdana" w:hAnsi="Verdana" w:cs="Arial"/>
          <w:spacing w:val="-2"/>
          <w:sz w:val="22"/>
          <w:szCs w:val="22"/>
        </w:rPr>
        <w:t xml:space="preserve"> und sichere Einbindung gewährleistet. </w:t>
      </w:r>
    </w:p>
    <w:p w14:paraId="3A9F3345" w14:textId="77777777" w:rsidR="0016185A" w:rsidRDefault="0016185A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pacing w:val="-2"/>
          <w:sz w:val="22"/>
          <w:szCs w:val="22"/>
        </w:rPr>
      </w:pPr>
    </w:p>
    <w:p w14:paraId="087EB0CA" w14:textId="3B3A5005" w:rsidR="0016185A" w:rsidRPr="0016185A" w:rsidRDefault="0016185A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pacing w:val="-2"/>
          <w:sz w:val="22"/>
          <w:szCs w:val="22"/>
        </w:rPr>
      </w:pPr>
      <w:r w:rsidRPr="0016185A">
        <w:rPr>
          <w:rFonts w:ascii="Verdana" w:hAnsi="Verdana" w:cs="Arial"/>
          <w:b/>
          <w:spacing w:val="-2"/>
          <w:sz w:val="22"/>
          <w:szCs w:val="22"/>
        </w:rPr>
        <w:t>Höhere Temperaturen für sanierte Häuser</w:t>
      </w:r>
    </w:p>
    <w:p w14:paraId="47B82A16" w14:textId="69104E35" w:rsidR="0016185A" w:rsidRDefault="00F060B4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pacing w:val="-2"/>
          <w:sz w:val="22"/>
          <w:szCs w:val="22"/>
        </w:rPr>
      </w:pPr>
      <w:r w:rsidRPr="00F060B4">
        <w:rPr>
          <w:rFonts w:ascii="Verdana" w:hAnsi="Verdana" w:cs="Arial"/>
          <w:spacing w:val="-2"/>
          <w:sz w:val="22"/>
          <w:szCs w:val="22"/>
        </w:rPr>
        <w:t>Mit dem THMH-Modul ist die Anbindung eine</w:t>
      </w:r>
      <w:r>
        <w:rPr>
          <w:rFonts w:ascii="Verdana" w:hAnsi="Verdana" w:cs="Arial"/>
          <w:spacing w:val="-2"/>
          <w:sz w:val="22"/>
          <w:szCs w:val="22"/>
        </w:rPr>
        <w:t>s</w:t>
      </w:r>
      <w:r w:rsidRPr="00F060B4">
        <w:rPr>
          <w:rFonts w:ascii="Verdana" w:hAnsi="Verdana" w:cs="Arial"/>
          <w:spacing w:val="-2"/>
          <w:sz w:val="22"/>
          <w:szCs w:val="22"/>
        </w:rPr>
        <w:t xml:space="preserve"> zweiten Wärmeerzeuger</w:t>
      </w:r>
      <w:r>
        <w:rPr>
          <w:rFonts w:ascii="Verdana" w:hAnsi="Verdana" w:cs="Arial"/>
          <w:spacing w:val="-2"/>
          <w:sz w:val="22"/>
          <w:szCs w:val="22"/>
        </w:rPr>
        <w:t>s</w:t>
      </w:r>
      <w:r w:rsidRPr="00F060B4">
        <w:rPr>
          <w:rFonts w:ascii="Verdana" w:hAnsi="Verdana" w:cs="Arial"/>
          <w:spacing w:val="-2"/>
          <w:sz w:val="22"/>
          <w:szCs w:val="22"/>
        </w:rPr>
        <w:t xml:space="preserve"> möglich. Durch den bivalenten Betrieb eignet sich die Luft-Wasser-Wärmepumpe TTL 3.5/4.5/6.5/8.5 ACS </w:t>
      </w:r>
      <w:r>
        <w:rPr>
          <w:rFonts w:ascii="Verdana" w:hAnsi="Verdana" w:cs="Arial"/>
          <w:spacing w:val="-2"/>
          <w:sz w:val="22"/>
          <w:szCs w:val="22"/>
        </w:rPr>
        <w:t xml:space="preserve">damit auch </w:t>
      </w:r>
      <w:r w:rsidRPr="00F060B4">
        <w:rPr>
          <w:rFonts w:ascii="Verdana" w:hAnsi="Verdana" w:cs="Arial"/>
          <w:spacing w:val="-2"/>
          <w:sz w:val="22"/>
          <w:szCs w:val="22"/>
        </w:rPr>
        <w:t>für den Einsatz in energetisch sanierten Gebäuden</w:t>
      </w:r>
      <w:r>
        <w:rPr>
          <w:rFonts w:ascii="Verdana" w:hAnsi="Verdana" w:cs="Arial"/>
          <w:spacing w:val="-2"/>
          <w:sz w:val="22"/>
          <w:szCs w:val="22"/>
        </w:rPr>
        <w:t xml:space="preserve">. 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Dank </w:t>
      </w:r>
      <w:r>
        <w:rPr>
          <w:rFonts w:ascii="Verdana" w:hAnsi="Verdana" w:cs="Arial"/>
          <w:spacing w:val="-2"/>
          <w:sz w:val="22"/>
          <w:szCs w:val="22"/>
        </w:rPr>
        <w:t>des Zusammenspiels</w:t>
      </w:r>
      <w:r w:rsidR="008C66E3">
        <w:rPr>
          <w:rFonts w:ascii="Verdana" w:hAnsi="Verdana" w:cs="Arial"/>
          <w:spacing w:val="-2"/>
          <w:sz w:val="22"/>
          <w:szCs w:val="22"/>
        </w:rPr>
        <w:t xml:space="preserve"> aus bestehende</w:t>
      </w:r>
      <w:r>
        <w:rPr>
          <w:rFonts w:ascii="Verdana" w:hAnsi="Verdana" w:cs="Arial"/>
          <w:spacing w:val="-2"/>
          <w:sz w:val="22"/>
          <w:szCs w:val="22"/>
        </w:rPr>
        <w:t>m</w:t>
      </w:r>
      <w:r w:rsidR="008C66E3">
        <w:rPr>
          <w:rFonts w:ascii="Verdana" w:hAnsi="Verdana" w:cs="Arial"/>
          <w:spacing w:val="-2"/>
          <w:sz w:val="22"/>
          <w:szCs w:val="22"/>
        </w:rPr>
        <w:t xml:space="preserve"> Kessel und Wärmepumpe über das THMH-Modul lassen sich deutlich höhere Systemtemperaturen erzielen, was den Einsatz auch in bestehenden Gebäuden ohne weitere energetische Maßnahmen möglich macht.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 </w:t>
      </w:r>
      <w:r>
        <w:rPr>
          <w:rFonts w:ascii="Verdana" w:hAnsi="Verdana" w:cs="Arial"/>
          <w:spacing w:val="-2"/>
          <w:sz w:val="22"/>
          <w:szCs w:val="22"/>
        </w:rPr>
        <w:t>Mit dem</w:t>
      </w:r>
      <w:r w:rsidR="008C66E3">
        <w:rPr>
          <w:rFonts w:ascii="Verdana" w:hAnsi="Verdana" w:cs="Arial"/>
          <w:spacing w:val="-2"/>
          <w:sz w:val="22"/>
          <w:szCs w:val="22"/>
        </w:rPr>
        <w:t xml:space="preserve"> neuen 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Hydraulikmodul müssen </w:t>
      </w:r>
      <w:r w:rsidR="0052562A">
        <w:rPr>
          <w:rFonts w:ascii="Verdana" w:hAnsi="Verdana" w:cs="Arial"/>
          <w:spacing w:val="-2"/>
          <w:sz w:val="22"/>
          <w:szCs w:val="22"/>
        </w:rPr>
        <w:t xml:space="preserve">auch 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>die Bewohner von energetisch sanierten Gebäuden zukünftig nicht auf die Vorzüge der Luft-Wasser-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lastRenderedPageBreak/>
        <w:t xml:space="preserve">Wärmepumpen TTL </w:t>
      </w:r>
      <w:r w:rsidR="00BF440D" w:rsidRPr="00F05792">
        <w:rPr>
          <w:rFonts w:ascii="Verdana" w:hAnsi="Verdana" w:cs="Arial"/>
          <w:spacing w:val="-2"/>
          <w:sz w:val="22"/>
          <w:szCs w:val="22"/>
        </w:rPr>
        <w:t>3.5/4.5/6.5/8.5 ACS</w:t>
      </w:r>
      <w:r w:rsidR="00BF440D" w:rsidRPr="0016185A">
        <w:rPr>
          <w:rFonts w:ascii="Verdana" w:hAnsi="Verdana" w:cs="Arial"/>
          <w:spacing w:val="-2"/>
          <w:sz w:val="22"/>
          <w:szCs w:val="22"/>
        </w:rPr>
        <w:t xml:space="preserve"> 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verzichten: Denn diese eignen sich durch moderne </w:t>
      </w:r>
      <w:proofErr w:type="spellStart"/>
      <w:r w:rsidR="0016185A" w:rsidRPr="0016185A">
        <w:rPr>
          <w:rFonts w:ascii="Verdana" w:hAnsi="Verdana" w:cs="Arial"/>
          <w:spacing w:val="-2"/>
          <w:sz w:val="22"/>
          <w:szCs w:val="22"/>
        </w:rPr>
        <w:t>Invertertechnik</w:t>
      </w:r>
      <w:proofErr w:type="spellEnd"/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 besonders für den Wärmebedarf von Ein- und Zweifamilienhäusern.</w:t>
      </w:r>
      <w:r w:rsidR="008C66E3">
        <w:rPr>
          <w:rFonts w:ascii="Verdana" w:hAnsi="Verdana" w:cs="Arial"/>
          <w:spacing w:val="-2"/>
          <w:sz w:val="22"/>
          <w:szCs w:val="22"/>
        </w:rPr>
        <w:t xml:space="preserve"> Über die Wärmepumpe wird ein hoher Anteil erneuerbare Energie in die Heizwärmeerzeugung eingekoppelt. 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Die hohe Effizienzklasse A++ wird insbesondere durch die </w:t>
      </w:r>
      <w:proofErr w:type="spellStart"/>
      <w:r w:rsidR="0016185A" w:rsidRPr="0016185A">
        <w:rPr>
          <w:rFonts w:ascii="Verdana" w:hAnsi="Verdana" w:cs="Arial"/>
          <w:spacing w:val="-2"/>
          <w:sz w:val="22"/>
          <w:szCs w:val="22"/>
        </w:rPr>
        <w:t>Inverterkühlung</w:t>
      </w:r>
      <w:proofErr w:type="spellEnd"/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 erreicht</w:t>
      </w:r>
      <w:r w:rsidR="0016185A">
        <w:rPr>
          <w:rFonts w:ascii="Verdana" w:hAnsi="Verdana" w:cs="Arial"/>
          <w:spacing w:val="-2"/>
          <w:sz w:val="22"/>
          <w:szCs w:val="22"/>
        </w:rPr>
        <w:t xml:space="preserve">: Sie 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>ermöglicht</w:t>
      </w:r>
      <w:r w:rsidR="0016185A">
        <w:rPr>
          <w:rFonts w:ascii="Verdana" w:hAnsi="Verdana" w:cs="Arial"/>
          <w:spacing w:val="-2"/>
          <w:sz w:val="22"/>
          <w:szCs w:val="22"/>
        </w:rPr>
        <w:t xml:space="preserve"> eine Nutzung der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 entstehende</w:t>
      </w:r>
      <w:r w:rsidR="0016185A">
        <w:rPr>
          <w:rFonts w:ascii="Verdana" w:hAnsi="Verdana" w:cs="Arial"/>
          <w:spacing w:val="-2"/>
          <w:sz w:val="22"/>
          <w:szCs w:val="22"/>
        </w:rPr>
        <w:t>n</w:t>
      </w:r>
      <w:r w:rsidR="0016185A" w:rsidRPr="0016185A">
        <w:rPr>
          <w:rFonts w:ascii="Verdana" w:hAnsi="Verdana" w:cs="Arial"/>
          <w:spacing w:val="-2"/>
          <w:sz w:val="22"/>
          <w:szCs w:val="22"/>
        </w:rPr>
        <w:t xml:space="preserve"> Abwärme. </w:t>
      </w:r>
    </w:p>
    <w:p w14:paraId="6FAAC480" w14:textId="77777777" w:rsidR="0016185A" w:rsidRDefault="0016185A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pacing w:val="-2"/>
          <w:sz w:val="22"/>
          <w:szCs w:val="22"/>
        </w:rPr>
      </w:pPr>
    </w:p>
    <w:p w14:paraId="2F896511" w14:textId="77777777" w:rsidR="0016185A" w:rsidRPr="0016185A" w:rsidRDefault="0016185A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pacing w:val="-2"/>
          <w:sz w:val="22"/>
          <w:szCs w:val="22"/>
        </w:rPr>
      </w:pPr>
      <w:r w:rsidRPr="0016185A">
        <w:rPr>
          <w:rFonts w:ascii="Verdana" w:hAnsi="Verdana" w:cs="Arial"/>
          <w:b/>
          <w:spacing w:val="-2"/>
          <w:sz w:val="22"/>
          <w:szCs w:val="22"/>
        </w:rPr>
        <w:t>Leiser Lauf für problemlose Aufstellung</w:t>
      </w:r>
    </w:p>
    <w:p w14:paraId="1C0B6DDE" w14:textId="4E93A430" w:rsidR="0016185A" w:rsidRPr="0016185A" w:rsidRDefault="0016185A" w:rsidP="0016185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pacing w:val="-2"/>
          <w:sz w:val="22"/>
          <w:szCs w:val="22"/>
        </w:rPr>
      </w:pPr>
      <w:r w:rsidRPr="0016185A">
        <w:rPr>
          <w:rFonts w:ascii="Verdana" w:hAnsi="Verdana" w:cs="Arial"/>
          <w:spacing w:val="-2"/>
          <w:sz w:val="22"/>
          <w:szCs w:val="22"/>
        </w:rPr>
        <w:t xml:space="preserve">Ebenso innovativ ist das ABC-Design, das ein Blockieren des Kondensatablaufs verhindert und damit ein Zufrieren des Verdampfers. Die Drehzahl von Lüfter und Verdichter wird stufenlos angepasst, was zu einem leisen Lauf der modernen Luft-Wasser-Wärmepumpe </w:t>
      </w:r>
      <w:r>
        <w:rPr>
          <w:rFonts w:ascii="Verdana" w:hAnsi="Verdana" w:cs="Arial"/>
          <w:spacing w:val="-2"/>
          <w:sz w:val="22"/>
          <w:szCs w:val="22"/>
        </w:rPr>
        <w:t xml:space="preserve">TTL </w:t>
      </w:r>
      <w:r w:rsidR="00BF440D" w:rsidRPr="00F05792">
        <w:rPr>
          <w:rFonts w:ascii="Verdana" w:hAnsi="Verdana" w:cs="Arial"/>
          <w:spacing w:val="-2"/>
          <w:sz w:val="22"/>
          <w:szCs w:val="22"/>
        </w:rPr>
        <w:t>3.5/4.5/6.5/8.5 ACS</w:t>
      </w:r>
      <w:r w:rsidR="00BF440D" w:rsidRPr="0016185A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16185A">
        <w:rPr>
          <w:rFonts w:ascii="Verdana" w:hAnsi="Verdana" w:cs="Arial"/>
          <w:spacing w:val="-2"/>
          <w:sz w:val="22"/>
          <w:szCs w:val="22"/>
        </w:rPr>
        <w:t>führt. Damit eignet sich das platzsparende Außengerät auch für eine Aufstellung bei</w:t>
      </w:r>
      <w:r w:rsidR="00211804">
        <w:rPr>
          <w:rFonts w:ascii="Verdana" w:hAnsi="Verdana" w:cs="Arial"/>
          <w:spacing w:val="-2"/>
          <w:sz w:val="22"/>
          <w:szCs w:val="22"/>
        </w:rPr>
        <w:t xml:space="preserve"> einer</w:t>
      </w:r>
      <w:r w:rsidR="00211804" w:rsidRPr="0016185A">
        <w:rPr>
          <w:rFonts w:ascii="Verdana" w:hAnsi="Verdana" w:cs="Arial"/>
          <w:spacing w:val="-2"/>
          <w:sz w:val="22"/>
          <w:szCs w:val="22"/>
        </w:rPr>
        <w:t xml:space="preserve"> engeren Bebauung</w:t>
      </w:r>
      <w:r w:rsidRPr="0016185A">
        <w:rPr>
          <w:rFonts w:ascii="Verdana" w:hAnsi="Verdana" w:cs="Arial"/>
          <w:spacing w:val="-2"/>
          <w:sz w:val="22"/>
          <w:szCs w:val="22"/>
        </w:rPr>
        <w:t>.</w:t>
      </w:r>
    </w:p>
    <w:p w14:paraId="4183AE65" w14:textId="26CD4F93" w:rsidR="009C7D35" w:rsidRPr="00FC6193" w:rsidRDefault="009C7D3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16EEED2D" w14:textId="64E3741D" w:rsidR="004C231C" w:rsidRPr="00FC6193" w:rsidRDefault="004C231C" w:rsidP="00F060B4">
      <w:pPr>
        <w:tabs>
          <w:tab w:val="left" w:pos="284"/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1623F6">
        <w:rPr>
          <w:rFonts w:ascii="Verdana" w:hAnsi="Verdana" w:cs="Arial"/>
          <w:sz w:val="22"/>
          <w:szCs w:val="22"/>
        </w:rPr>
        <w:t>1.</w:t>
      </w:r>
      <w:r w:rsidR="00F060B4">
        <w:rPr>
          <w:rFonts w:ascii="Verdana" w:hAnsi="Verdana" w:cs="Arial"/>
          <w:sz w:val="22"/>
          <w:szCs w:val="22"/>
        </w:rPr>
        <w:t>955</w:t>
      </w:r>
    </w:p>
    <w:p w14:paraId="670D8248" w14:textId="77777777" w:rsidR="003E1701" w:rsidRDefault="003E1701">
      <w:pPr>
        <w:rPr>
          <w:rFonts w:ascii="Verdana" w:hAnsi="Verdana" w:cs="Arial"/>
          <w:b/>
          <w:sz w:val="22"/>
          <w:szCs w:val="22"/>
        </w:rPr>
      </w:pPr>
    </w:p>
    <w:p w14:paraId="5272CDCD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6074007C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024086C4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195F48A3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7A6617EC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4CDE937C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7A335743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211370D5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7FF4693F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072F302F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2CFE265E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3F12F27E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3CAC618F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5462DC71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41DE0A75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13E8A450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5F600C7D" w14:textId="77777777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66DB9FEF" w14:textId="514ED86C" w:rsidR="00211804" w:rsidRDefault="00211804">
      <w:pPr>
        <w:rPr>
          <w:rFonts w:ascii="Verdana" w:hAnsi="Verdana" w:cs="Arial"/>
          <w:b/>
          <w:sz w:val="22"/>
          <w:szCs w:val="22"/>
        </w:rPr>
      </w:pPr>
    </w:p>
    <w:p w14:paraId="58D18007" w14:textId="77777777" w:rsidR="00444B9D" w:rsidRDefault="00444B9D">
      <w:pPr>
        <w:rPr>
          <w:rFonts w:ascii="Verdana" w:hAnsi="Verdana" w:cs="Arial"/>
          <w:b/>
          <w:sz w:val="22"/>
          <w:szCs w:val="22"/>
        </w:rPr>
      </w:pPr>
    </w:p>
    <w:p w14:paraId="6663999E" w14:textId="77777777" w:rsidR="00444B9D" w:rsidRDefault="00444B9D">
      <w:pPr>
        <w:rPr>
          <w:rFonts w:ascii="Verdana" w:hAnsi="Verdana" w:cs="Arial"/>
          <w:b/>
          <w:sz w:val="22"/>
          <w:szCs w:val="22"/>
        </w:rPr>
      </w:pPr>
    </w:p>
    <w:p w14:paraId="0C4BE112" w14:textId="78296062"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Pressebilder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56062C01" w14:textId="7BCC8A7D" w:rsidR="00E15216" w:rsidRDefault="00211804" w:rsidP="00DF75A2">
      <w:pPr>
        <w:ind w:right="2268"/>
        <w:rPr>
          <w:rFonts w:ascii="Verdana" w:hAnsi="Verdana" w:cs="Arial"/>
          <w:b/>
          <w:sz w:val="21"/>
          <w:szCs w:val="21"/>
        </w:rPr>
      </w:pPr>
      <w:r w:rsidRPr="00211804">
        <w:rPr>
          <w:rFonts w:ascii="Verdana" w:hAnsi="Verdana" w:cs="Arial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F68D2DE" wp14:editId="162A79C3">
            <wp:simplePos x="0" y="0"/>
            <wp:positionH relativeFrom="column">
              <wp:posOffset>-410539</wp:posOffset>
            </wp:positionH>
            <wp:positionV relativeFrom="paragraph">
              <wp:posOffset>126518</wp:posOffset>
            </wp:positionV>
            <wp:extent cx="5391785" cy="4209415"/>
            <wp:effectExtent l="0" t="0" r="0" b="635"/>
            <wp:wrapNone/>
            <wp:docPr id="2" name="Grafik 2" descr="G:\A12_Brand_Management\98_tecalor\08_PR\2019\ISH\Pressemappe\Textabstimmungen\Wärmepumpe\Bildmaterial\TTL-THMH\tecalor_Pressebild_TTL 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12_Brand_Management\98_tecalor\08_PR\2019\ISH\Pressemappe\Textabstimmungen\Wärmepumpe\Bildmaterial\TTL-THMH\tecalor_Pressebild_TTL A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932F" w14:textId="1F25BDFE" w:rsidR="00211804" w:rsidRDefault="00211804">
      <w:pPr>
        <w:rPr>
          <w:rFonts w:ascii="Verdana" w:hAnsi="Verdana" w:cs="Arial"/>
          <w:b/>
          <w:sz w:val="21"/>
          <w:szCs w:val="21"/>
        </w:rPr>
      </w:pPr>
    </w:p>
    <w:p w14:paraId="63A0123C" w14:textId="66EF0CD7" w:rsidR="00211804" w:rsidRDefault="00211804">
      <w:pPr>
        <w:rPr>
          <w:rFonts w:ascii="Verdana" w:hAnsi="Verdana" w:cs="Arial"/>
          <w:b/>
          <w:sz w:val="21"/>
          <w:szCs w:val="21"/>
        </w:rPr>
      </w:pPr>
    </w:p>
    <w:p w14:paraId="05946945" w14:textId="29971D1D" w:rsidR="00211804" w:rsidRDefault="00211804">
      <w:pPr>
        <w:rPr>
          <w:rFonts w:ascii="Verdana" w:hAnsi="Verdana" w:cs="Arial"/>
          <w:b/>
          <w:sz w:val="21"/>
          <w:szCs w:val="21"/>
        </w:rPr>
      </w:pPr>
    </w:p>
    <w:p w14:paraId="254498FC" w14:textId="53ADBEE8" w:rsidR="00211804" w:rsidRDefault="00211804">
      <w:pPr>
        <w:rPr>
          <w:rFonts w:ascii="Verdana" w:hAnsi="Verdana" w:cs="Arial"/>
          <w:b/>
          <w:sz w:val="21"/>
          <w:szCs w:val="21"/>
        </w:rPr>
      </w:pPr>
    </w:p>
    <w:p w14:paraId="4B81AF6F" w14:textId="49341768" w:rsidR="00211804" w:rsidRDefault="00211804">
      <w:pPr>
        <w:rPr>
          <w:rFonts w:ascii="Verdana" w:hAnsi="Verdana" w:cs="Arial"/>
          <w:b/>
          <w:sz w:val="21"/>
          <w:szCs w:val="21"/>
        </w:rPr>
      </w:pPr>
    </w:p>
    <w:p w14:paraId="6E72C1B4" w14:textId="77777777" w:rsidR="00211804" w:rsidRDefault="00211804">
      <w:pPr>
        <w:rPr>
          <w:rFonts w:ascii="Verdana" w:hAnsi="Verdana" w:cs="Arial"/>
          <w:b/>
          <w:sz w:val="21"/>
          <w:szCs w:val="21"/>
        </w:rPr>
      </w:pPr>
    </w:p>
    <w:p w14:paraId="45D3129B" w14:textId="77777777" w:rsidR="00E15216" w:rsidRDefault="00E15216">
      <w:pPr>
        <w:rPr>
          <w:rFonts w:ascii="Verdana" w:hAnsi="Verdana" w:cs="Arial"/>
          <w:b/>
          <w:sz w:val="21"/>
          <w:szCs w:val="21"/>
        </w:rPr>
      </w:pPr>
    </w:p>
    <w:p w14:paraId="67B8A302" w14:textId="16142257" w:rsidR="00396615" w:rsidRDefault="00396615">
      <w:pPr>
        <w:rPr>
          <w:rFonts w:ascii="Verdana" w:hAnsi="Verdana" w:cs="Arial"/>
          <w:sz w:val="22"/>
          <w:szCs w:val="22"/>
        </w:rPr>
      </w:pPr>
    </w:p>
    <w:p w14:paraId="0DF2A1E6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2D6BFE0A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73ED7861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69A51C0A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50441D50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16CB5C59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007F75FE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4D1A55C5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285ABF51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558EFE4F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5F1E9121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0678902C" w14:textId="77777777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0591EF57" w14:textId="508A42FA" w:rsidR="00211804" w:rsidRPr="00DF75A2" w:rsidRDefault="00211804">
      <w:pPr>
        <w:rPr>
          <w:rFonts w:ascii="Verdana" w:hAnsi="Verdana" w:cs="Arial"/>
          <w:sz w:val="18"/>
          <w:szCs w:val="22"/>
        </w:rPr>
      </w:pPr>
      <w:proofErr w:type="spellStart"/>
      <w:r w:rsidRPr="00DF75A2">
        <w:rPr>
          <w:rFonts w:ascii="Verdana" w:hAnsi="Verdana" w:cs="Arial"/>
          <w:sz w:val="18"/>
          <w:szCs w:val="22"/>
        </w:rPr>
        <w:t>tecalor_Pressebild_TTL</w:t>
      </w:r>
      <w:proofErr w:type="spellEnd"/>
      <w:r w:rsidRPr="00DF75A2">
        <w:rPr>
          <w:rFonts w:ascii="Verdana" w:hAnsi="Verdana" w:cs="Arial"/>
          <w:sz w:val="18"/>
          <w:szCs w:val="22"/>
        </w:rPr>
        <w:t xml:space="preserve"> ACS.jpg</w:t>
      </w:r>
    </w:p>
    <w:p w14:paraId="4F51105A" w14:textId="2B74A323" w:rsidR="00211804" w:rsidRPr="00444B9D" w:rsidRDefault="00211804">
      <w:pPr>
        <w:rPr>
          <w:rFonts w:ascii="Verdana" w:hAnsi="Verdana" w:cs="Arial"/>
          <w:sz w:val="22"/>
          <w:szCs w:val="22"/>
        </w:rPr>
      </w:pPr>
    </w:p>
    <w:p w14:paraId="23E0C957" w14:textId="2357F259" w:rsidR="00211804" w:rsidRPr="00552812" w:rsidRDefault="00211804" w:rsidP="00211804">
      <w:pPr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Durch moderne </w:t>
      </w:r>
      <w:proofErr w:type="spellStart"/>
      <w:r>
        <w:rPr>
          <w:rFonts w:ascii="Verdana" w:hAnsi="Verdana" w:cs="Arial"/>
          <w:sz w:val="22"/>
          <w:szCs w:val="22"/>
        </w:rPr>
        <w:t>Invertertechnik</w:t>
      </w:r>
      <w:proofErr w:type="spellEnd"/>
      <w:r>
        <w:rPr>
          <w:rFonts w:ascii="Verdana" w:hAnsi="Verdana" w:cs="Arial"/>
          <w:sz w:val="22"/>
          <w:szCs w:val="22"/>
        </w:rPr>
        <w:t xml:space="preserve"> ist die TTL </w:t>
      </w:r>
      <w:r>
        <w:rPr>
          <w:rFonts w:ascii="Verdana" w:hAnsi="Verdana" w:cs="Arial"/>
          <w:spacing w:val="-2"/>
          <w:sz w:val="22"/>
          <w:szCs w:val="22"/>
        </w:rPr>
        <w:t xml:space="preserve">3.5/4.5/6.5/8.5 </w:t>
      </w:r>
      <w:r>
        <w:rPr>
          <w:rFonts w:ascii="Verdana" w:hAnsi="Verdana" w:cs="Arial"/>
          <w:sz w:val="22"/>
          <w:szCs w:val="22"/>
        </w:rPr>
        <w:t xml:space="preserve">ACS präzise auf den Wärmebedarf neuer Ein- oder Zweifamilienhäuser zugeschnitten. </w:t>
      </w:r>
    </w:p>
    <w:p w14:paraId="415429C9" w14:textId="27146000" w:rsidR="00211804" w:rsidRDefault="00211804">
      <w:pPr>
        <w:rPr>
          <w:rFonts w:ascii="Verdana" w:hAnsi="Verdana" w:cs="Arial"/>
          <w:sz w:val="22"/>
          <w:szCs w:val="22"/>
        </w:rPr>
      </w:pPr>
    </w:p>
    <w:p w14:paraId="53B3B318" w14:textId="2FEA8A6B" w:rsidR="00DF75A2" w:rsidRDefault="00DF75A2">
      <w:pPr>
        <w:rPr>
          <w:rFonts w:ascii="Verdana" w:hAnsi="Verdana" w:cs="Arial"/>
          <w:sz w:val="22"/>
          <w:szCs w:val="22"/>
        </w:rPr>
      </w:pPr>
    </w:p>
    <w:p w14:paraId="53CCF786" w14:textId="77777777" w:rsidR="00DF75A2" w:rsidRDefault="00DF75A2">
      <w:pPr>
        <w:rPr>
          <w:rFonts w:ascii="Verdana" w:hAnsi="Verdana" w:cs="Arial"/>
          <w:sz w:val="22"/>
          <w:szCs w:val="22"/>
        </w:rPr>
      </w:pPr>
    </w:p>
    <w:p w14:paraId="5CB38D4A" w14:textId="6F4042F9" w:rsidR="00211804" w:rsidRDefault="00211804">
      <w:pPr>
        <w:rPr>
          <w:rFonts w:ascii="Verdana" w:hAnsi="Verdana" w:cs="Arial"/>
          <w:sz w:val="22"/>
          <w:szCs w:val="22"/>
        </w:rPr>
      </w:pPr>
    </w:p>
    <w:p w14:paraId="0F562FC3" w14:textId="4EBCEE27" w:rsidR="00211804" w:rsidRDefault="00211804" w:rsidP="00DF75A2">
      <w:pPr>
        <w:ind w:right="2268"/>
        <w:rPr>
          <w:rFonts w:ascii="Verdana" w:hAnsi="Verdana" w:cs="Arial"/>
          <w:sz w:val="22"/>
          <w:szCs w:val="22"/>
        </w:rPr>
      </w:pPr>
      <w:r w:rsidRPr="00211804"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 wp14:anchorId="62774042" wp14:editId="6AB75291">
            <wp:extent cx="4299045" cy="3035720"/>
            <wp:effectExtent l="0" t="0" r="6350" b="0"/>
            <wp:docPr id="3" name="Grafik 3" descr="G:\A12_Brand_Management\98_tecalor\08_PR\2019\ISH\Pressemappe\Textabstimmungen\Wärmepumpe\Bildmaterial\TTL-THMH\PIC0000867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12_Brand_Management\98_tecalor\08_PR\2019\ISH\Pressemappe\Textabstimmungen\Wärmepumpe\Bildmaterial\TTL-THMH\PIC00008672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66" cy="30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1FC4" w14:textId="400A3BBE" w:rsidR="00211804" w:rsidRDefault="00211804">
      <w:pPr>
        <w:rPr>
          <w:rFonts w:ascii="Verdana" w:hAnsi="Verdana" w:cs="Arial"/>
          <w:sz w:val="22"/>
          <w:szCs w:val="22"/>
        </w:rPr>
      </w:pPr>
    </w:p>
    <w:p w14:paraId="63A2B725" w14:textId="652384A2" w:rsidR="00211804" w:rsidRPr="00DF75A2" w:rsidRDefault="00211804">
      <w:pPr>
        <w:rPr>
          <w:rFonts w:ascii="Verdana" w:hAnsi="Verdana" w:cs="Arial"/>
          <w:spacing w:val="-2"/>
          <w:sz w:val="18"/>
          <w:szCs w:val="22"/>
        </w:rPr>
      </w:pPr>
      <w:proofErr w:type="spellStart"/>
      <w:r w:rsidRPr="00DF75A2">
        <w:rPr>
          <w:rFonts w:ascii="Verdana" w:hAnsi="Verdana" w:cs="Arial"/>
          <w:sz w:val="18"/>
          <w:szCs w:val="22"/>
        </w:rPr>
        <w:t>tecalor_Pressebild_TTL</w:t>
      </w:r>
      <w:proofErr w:type="spellEnd"/>
      <w:r w:rsidRPr="00DF75A2">
        <w:rPr>
          <w:rFonts w:ascii="Verdana" w:hAnsi="Verdana" w:cs="Arial"/>
          <w:spacing w:val="-2"/>
          <w:sz w:val="18"/>
          <w:szCs w:val="22"/>
        </w:rPr>
        <w:t xml:space="preserve"> ACS_Milieubild.jpg</w:t>
      </w:r>
    </w:p>
    <w:p w14:paraId="1EA427E0" w14:textId="5B5E0512" w:rsidR="00211804" w:rsidRDefault="00211804">
      <w:pPr>
        <w:rPr>
          <w:rFonts w:ascii="Verdana" w:hAnsi="Verdana" w:cs="Arial"/>
          <w:sz w:val="22"/>
          <w:szCs w:val="22"/>
        </w:rPr>
      </w:pPr>
    </w:p>
    <w:p w14:paraId="2560409E" w14:textId="2D349BB7" w:rsidR="00211804" w:rsidRPr="00211804" w:rsidRDefault="00211804" w:rsidP="00DF75A2">
      <w:pPr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Luft-Wasser-Wärmepumpe </w:t>
      </w:r>
      <w:r>
        <w:rPr>
          <w:rFonts w:ascii="Verdana" w:hAnsi="Verdana" w:cs="Arial"/>
          <w:spacing w:val="-2"/>
          <w:sz w:val="22"/>
          <w:szCs w:val="22"/>
        </w:rPr>
        <w:t xml:space="preserve">TTL </w:t>
      </w:r>
      <w:r w:rsidRPr="00F05792">
        <w:rPr>
          <w:rFonts w:ascii="Verdana" w:hAnsi="Verdana" w:cs="Arial"/>
          <w:spacing w:val="-2"/>
          <w:sz w:val="22"/>
          <w:szCs w:val="22"/>
        </w:rPr>
        <w:t>3.5/4.5/6.5/8.5 ACS</w:t>
      </w:r>
      <w:r>
        <w:rPr>
          <w:rFonts w:ascii="Verdana" w:hAnsi="Verdana" w:cs="Arial"/>
          <w:spacing w:val="-2"/>
          <w:sz w:val="22"/>
          <w:szCs w:val="22"/>
        </w:rPr>
        <w:t xml:space="preserve"> eignet sich durch das </w:t>
      </w:r>
      <w:r w:rsidRPr="0016185A">
        <w:rPr>
          <w:rFonts w:ascii="Verdana" w:hAnsi="Verdana" w:cs="Arial"/>
          <w:spacing w:val="-2"/>
          <w:sz w:val="22"/>
          <w:szCs w:val="22"/>
        </w:rPr>
        <w:t>platzsparende Außengerät für eine Aufstellung</w:t>
      </w:r>
      <w:r>
        <w:rPr>
          <w:rFonts w:ascii="Verdana" w:hAnsi="Verdana" w:cs="Arial"/>
          <w:spacing w:val="-2"/>
          <w:sz w:val="22"/>
          <w:szCs w:val="22"/>
        </w:rPr>
        <w:t xml:space="preserve"> auch</w:t>
      </w:r>
      <w:r w:rsidRPr="0016185A">
        <w:rPr>
          <w:rFonts w:ascii="Verdana" w:hAnsi="Verdana" w:cs="Arial"/>
          <w:spacing w:val="-2"/>
          <w:sz w:val="22"/>
          <w:szCs w:val="22"/>
        </w:rPr>
        <w:t xml:space="preserve"> bei engerer Bebauung.</w:t>
      </w:r>
      <w:r w:rsidR="00DF75A2">
        <w:rPr>
          <w:rFonts w:ascii="Verdana" w:hAnsi="Verdana" w:cs="Arial"/>
          <w:spacing w:val="-2"/>
          <w:sz w:val="22"/>
          <w:szCs w:val="22"/>
        </w:rPr>
        <w:br/>
      </w:r>
      <w:r w:rsidR="00DF75A2">
        <w:rPr>
          <w:rFonts w:ascii="Verdana" w:hAnsi="Verdana" w:cs="Arial"/>
          <w:spacing w:val="-2"/>
          <w:sz w:val="22"/>
          <w:szCs w:val="22"/>
        </w:rPr>
        <w:br/>
      </w:r>
      <w:r w:rsidR="00DF75A2">
        <w:rPr>
          <w:rFonts w:ascii="Verdana" w:hAnsi="Verdana" w:cs="Arial"/>
          <w:spacing w:val="-2"/>
          <w:sz w:val="22"/>
          <w:szCs w:val="22"/>
        </w:rPr>
        <w:br/>
      </w:r>
      <w:r w:rsidR="00DF75A2">
        <w:rPr>
          <w:rFonts w:ascii="Verdana" w:hAnsi="Verdana" w:cs="Arial"/>
          <w:spacing w:val="-2"/>
          <w:sz w:val="22"/>
          <w:szCs w:val="22"/>
        </w:rPr>
        <w:br/>
      </w:r>
      <w:r w:rsidR="00DF75A2">
        <w:rPr>
          <w:rFonts w:ascii="Verdana" w:hAnsi="Verdana" w:cs="Arial"/>
          <w:spacing w:val="-2"/>
          <w:sz w:val="22"/>
          <w:szCs w:val="22"/>
        </w:rPr>
        <w:br/>
      </w:r>
    </w:p>
    <w:p w14:paraId="3152753F" w14:textId="77777777" w:rsidR="00396615" w:rsidRPr="00211804" w:rsidRDefault="00396615">
      <w:pPr>
        <w:rPr>
          <w:rFonts w:ascii="Verdana" w:hAnsi="Verdana" w:cs="Arial"/>
          <w:sz w:val="22"/>
          <w:szCs w:val="22"/>
        </w:rPr>
      </w:pPr>
    </w:p>
    <w:p w14:paraId="5C5DC238" w14:textId="78D89CE8" w:rsidR="00211804" w:rsidRDefault="00211804" w:rsidP="001C51A4">
      <w:pPr>
        <w:rPr>
          <w:rFonts w:ascii="Verdana" w:hAnsi="Verdana" w:cs="Arial"/>
          <w:sz w:val="22"/>
          <w:szCs w:val="22"/>
        </w:rPr>
      </w:pPr>
    </w:p>
    <w:p w14:paraId="29085DD4" w14:textId="0E26FFC3" w:rsidR="00211804" w:rsidRDefault="00211804" w:rsidP="00DF75A2">
      <w:pPr>
        <w:tabs>
          <w:tab w:val="left" w:pos="6804"/>
        </w:tabs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 wp14:anchorId="07212D76" wp14:editId="7A779735">
            <wp:extent cx="4258102" cy="3006808"/>
            <wp:effectExtent l="0" t="0" r="9525" b="3175"/>
            <wp:docPr id="4" name="Grafik 4" descr="G:\A12_Brand_Management\98_tecalor\08_PR\2019\ISH\Pressemappe\Textabstimmungen\Wärmepumpe\Bildmaterial\TTL-THMH\PIC0000679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12_Brand_Management\98_tecalor\08_PR\2019\ISH\Pressemappe\Textabstimmungen\Wärmepumpe\Bildmaterial\TTL-THMH\PIC00006797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24" cy="30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1E55" w14:textId="37232244" w:rsidR="00211804" w:rsidRPr="00DF75A2" w:rsidRDefault="00211804" w:rsidP="00211804">
      <w:pPr>
        <w:rPr>
          <w:rFonts w:ascii="Verdana" w:hAnsi="Verdana" w:cs="Arial"/>
          <w:spacing w:val="-2"/>
          <w:sz w:val="18"/>
          <w:szCs w:val="22"/>
          <w:lang w:val="en-US"/>
        </w:rPr>
      </w:pPr>
      <w:proofErr w:type="spellStart"/>
      <w:r w:rsidRPr="00DF75A2">
        <w:rPr>
          <w:rFonts w:ascii="Verdana" w:hAnsi="Verdana" w:cs="Arial"/>
          <w:sz w:val="18"/>
          <w:szCs w:val="22"/>
          <w:lang w:val="en-US"/>
        </w:rPr>
        <w:t>tecalor_Pressebild_TTL</w:t>
      </w:r>
      <w:proofErr w:type="spellEnd"/>
      <w:r w:rsidRPr="00DF75A2">
        <w:rPr>
          <w:rFonts w:ascii="Verdana" w:hAnsi="Verdana" w:cs="Arial"/>
          <w:spacing w:val="-2"/>
          <w:sz w:val="18"/>
          <w:szCs w:val="22"/>
          <w:lang w:val="en-US"/>
        </w:rPr>
        <w:t xml:space="preserve"> ACS_Systemhaus.jpg</w:t>
      </w:r>
    </w:p>
    <w:p w14:paraId="092E8E7F" w14:textId="3CB7A5C5" w:rsidR="00211804" w:rsidRPr="00211804" w:rsidRDefault="00211804" w:rsidP="001C51A4">
      <w:pPr>
        <w:rPr>
          <w:rFonts w:ascii="Verdana" w:hAnsi="Verdana" w:cs="Arial"/>
          <w:sz w:val="22"/>
          <w:szCs w:val="22"/>
          <w:lang w:val="en-US"/>
        </w:rPr>
      </w:pPr>
    </w:p>
    <w:p w14:paraId="1B601B8E" w14:textId="5568EC33" w:rsidR="00211804" w:rsidRPr="009B4B60" w:rsidRDefault="00211804" w:rsidP="009B4B60">
      <w:pPr>
        <w:ind w:right="2268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GoBack"/>
      <w:bookmarkEnd w:id="0"/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Durch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den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bivalenten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Betrieb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eignet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sich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die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Luft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-Wasser-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Wärmepumpe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TTL 3.5/4.5/6.5/8.5 ACS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damit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auch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für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den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Einsatz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in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energetisch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sanierten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Gebäuden</w:t>
      </w:r>
      <w:proofErr w:type="spellEnd"/>
      <w:r w:rsidRPr="009B4B60">
        <w:rPr>
          <w:rFonts w:ascii="Verdana" w:hAnsi="Verdana" w:cs="Arial"/>
          <w:spacing w:val="-2"/>
          <w:sz w:val="22"/>
          <w:szCs w:val="22"/>
          <w:lang w:val="en-US"/>
        </w:rPr>
        <w:t>.</w:t>
      </w:r>
    </w:p>
    <w:p w14:paraId="1B0782BA" w14:textId="77777777" w:rsidR="00211804" w:rsidRPr="00211804" w:rsidRDefault="00211804" w:rsidP="001C51A4">
      <w:pPr>
        <w:rPr>
          <w:rFonts w:ascii="Verdana" w:hAnsi="Verdana" w:cs="Arial"/>
          <w:sz w:val="22"/>
          <w:szCs w:val="22"/>
        </w:rPr>
      </w:pPr>
    </w:p>
    <w:p w14:paraId="250BBDB3" w14:textId="621F6DB2" w:rsidR="00211804" w:rsidRDefault="00211804" w:rsidP="00211804">
      <w:pPr>
        <w:rPr>
          <w:rFonts w:ascii="Verdana" w:hAnsi="Verdana" w:cs="Arial"/>
          <w:sz w:val="22"/>
          <w:szCs w:val="22"/>
        </w:rPr>
      </w:pPr>
      <w:r w:rsidRPr="00444B9D">
        <w:rPr>
          <w:rFonts w:ascii="Verdana" w:hAnsi="Verdana" w:cs="Arial"/>
          <w:sz w:val="22"/>
          <w:szCs w:val="22"/>
        </w:rPr>
        <w:t xml:space="preserve">Bilder: </w:t>
      </w:r>
      <w:proofErr w:type="spellStart"/>
      <w:r w:rsidRPr="00444B9D">
        <w:rPr>
          <w:rFonts w:ascii="Verdana" w:hAnsi="Verdana" w:cs="Arial"/>
          <w:sz w:val="22"/>
          <w:szCs w:val="22"/>
        </w:rPr>
        <w:t>t</w:t>
      </w:r>
      <w:r w:rsidR="00396615" w:rsidRPr="00444B9D">
        <w:rPr>
          <w:rFonts w:ascii="Verdana" w:hAnsi="Verdana" w:cs="Arial"/>
          <w:sz w:val="22"/>
          <w:szCs w:val="22"/>
        </w:rPr>
        <w:t>ecalor</w:t>
      </w:r>
      <w:proofErr w:type="spellEnd"/>
    </w:p>
    <w:p w14:paraId="4E794D53" w14:textId="77777777" w:rsidR="00211804" w:rsidRDefault="00211804" w:rsidP="00211804">
      <w:pPr>
        <w:rPr>
          <w:rFonts w:ascii="Verdana" w:hAnsi="Verdana" w:cs="Arial"/>
          <w:sz w:val="22"/>
          <w:szCs w:val="22"/>
        </w:rPr>
      </w:pPr>
    </w:p>
    <w:p w14:paraId="1E984611" w14:textId="77777777" w:rsidR="00211804" w:rsidRDefault="00211804" w:rsidP="00211804">
      <w:pPr>
        <w:rPr>
          <w:rFonts w:ascii="Verdana" w:hAnsi="Verdana" w:cs="Arial"/>
          <w:sz w:val="22"/>
          <w:szCs w:val="22"/>
        </w:rPr>
      </w:pPr>
    </w:p>
    <w:p w14:paraId="52C4B6A4" w14:textId="77777777" w:rsidR="00211804" w:rsidRPr="0046553F" w:rsidRDefault="00211804" w:rsidP="00211804">
      <w:pPr>
        <w:pStyle w:val="Textkrper"/>
        <w:ind w:right="2268"/>
        <w:rPr>
          <w:rFonts w:ascii="Verdana" w:hAnsi="Verdana" w:cs="Arial"/>
          <w:sz w:val="21"/>
          <w:szCs w:val="21"/>
        </w:rPr>
      </w:pPr>
      <w:proofErr w:type="spellStart"/>
      <w:r w:rsidRPr="0046553F">
        <w:rPr>
          <w:rFonts w:ascii="Verdana" w:hAnsi="Verdana" w:cs="Arial"/>
          <w:sz w:val="21"/>
          <w:szCs w:val="21"/>
        </w:rPr>
        <w:t>tecalor</w:t>
      </w:r>
      <w:proofErr w:type="spellEnd"/>
      <w:r w:rsidRPr="0046553F">
        <w:rPr>
          <w:rFonts w:ascii="Verdana" w:hAnsi="Verdana" w:cs="Arial"/>
          <w:sz w:val="21"/>
          <w:szCs w:val="21"/>
        </w:rPr>
        <w:t xml:space="preserve"> GmbH</w:t>
      </w:r>
    </w:p>
    <w:p w14:paraId="5F9FA1D2" w14:textId="77777777" w:rsidR="00211804" w:rsidRPr="00FC6193" w:rsidRDefault="00211804" w:rsidP="00211804">
      <w:pPr>
        <w:pStyle w:val="Liste"/>
        <w:ind w:right="2268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0A0FD2E1" w14:textId="77777777" w:rsidR="00211804" w:rsidRPr="00FC6193" w:rsidRDefault="00211804" w:rsidP="00211804">
      <w:pPr>
        <w:ind w:right="226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www.tecalor.de</w:t>
      </w:r>
      <w:r>
        <w:rPr>
          <w:rFonts w:ascii="Verdana" w:hAnsi="Verdana" w:cs="Arial"/>
          <w:sz w:val="21"/>
          <w:szCs w:val="21"/>
        </w:rPr>
        <w:t xml:space="preserve"> </w:t>
      </w:r>
    </w:p>
    <w:p w14:paraId="1C19B032" w14:textId="2D146E79" w:rsidR="00211804" w:rsidRPr="00FC6193" w:rsidRDefault="00211804" w:rsidP="00211804">
      <w:pPr>
        <w:tabs>
          <w:tab w:val="left" w:pos="1418"/>
        </w:tabs>
        <w:ind w:right="2268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Telefon: </w:t>
      </w:r>
      <w:r>
        <w:rPr>
          <w:rFonts w:ascii="Verdana" w:hAnsi="Verdana" w:cs="Arial"/>
          <w:sz w:val="21"/>
          <w:szCs w:val="21"/>
        </w:rPr>
        <w:tab/>
        <w:t xml:space="preserve">+49 </w:t>
      </w:r>
      <w:r w:rsidRPr="00FC6193">
        <w:rPr>
          <w:rFonts w:ascii="Verdana" w:hAnsi="Verdana" w:cs="Arial"/>
          <w:sz w:val="21"/>
          <w:szCs w:val="21"/>
        </w:rPr>
        <w:t>5531 9906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20893952" w14:textId="77777777" w:rsidR="00211804" w:rsidRPr="00FC6193" w:rsidRDefault="00211804" w:rsidP="00211804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4B68B962" w14:textId="77777777" w:rsidR="00211804" w:rsidRDefault="00211804" w:rsidP="00211804">
      <w:pPr>
        <w:pStyle w:val="Textkrper"/>
        <w:ind w:right="2268"/>
        <w:rPr>
          <w:rFonts w:ascii="Verdana" w:hAnsi="Verdana" w:cs="Arial"/>
          <w:b/>
          <w:sz w:val="21"/>
          <w:szCs w:val="21"/>
        </w:rPr>
      </w:pPr>
      <w:r w:rsidRPr="00FC6193">
        <w:rPr>
          <w:rFonts w:ascii="Verdana" w:hAnsi="Verdana" w:cs="Arial"/>
          <w:b/>
          <w:sz w:val="21"/>
          <w:szCs w:val="21"/>
        </w:rPr>
        <w:t>Pressekontakt:</w:t>
      </w:r>
      <w:r w:rsidRPr="00FC6193">
        <w:rPr>
          <w:rFonts w:ascii="Verdana" w:hAnsi="Verdana" w:cs="Arial"/>
          <w:b/>
          <w:sz w:val="21"/>
          <w:szCs w:val="21"/>
        </w:rPr>
        <w:tab/>
      </w:r>
    </w:p>
    <w:p w14:paraId="0B9CC018" w14:textId="77777777" w:rsidR="00211804" w:rsidRPr="0031761E" w:rsidRDefault="00211804" w:rsidP="00211804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31761E">
        <w:rPr>
          <w:rFonts w:ascii="Verdana" w:hAnsi="Verdana" w:cs="Arial"/>
          <w:sz w:val="21"/>
          <w:szCs w:val="21"/>
        </w:rPr>
        <w:t>Lena Schwekendiek</w:t>
      </w:r>
    </w:p>
    <w:p w14:paraId="178203E1" w14:textId="77777777" w:rsidR="00211804" w:rsidRDefault="00211804" w:rsidP="00211804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E-Mail: </w:t>
      </w:r>
      <w:r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Lena.Schwekendiek@tecalor.de</w:t>
      </w:r>
    </w:p>
    <w:p w14:paraId="71DB9A30" w14:textId="77777777" w:rsidR="00211804" w:rsidRPr="00FC6193" w:rsidRDefault="00211804" w:rsidP="00211804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+49 5531 702 958 30</w:t>
      </w:r>
    </w:p>
    <w:p w14:paraId="042F48E2" w14:textId="77777777" w:rsidR="00211804" w:rsidRPr="00FC6193" w:rsidRDefault="00211804" w:rsidP="00F2705A">
      <w:pPr>
        <w:rPr>
          <w:rFonts w:ascii="Verdana" w:hAnsi="Verdana"/>
        </w:rPr>
      </w:pPr>
    </w:p>
    <w:sectPr w:rsidR="00211804" w:rsidRPr="00FC6193" w:rsidSect="004C231C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2522" w14:textId="77777777" w:rsidR="00785A01" w:rsidRDefault="00785A01" w:rsidP="004C231C">
      <w:r>
        <w:separator/>
      </w:r>
    </w:p>
  </w:endnote>
  <w:endnote w:type="continuationSeparator" w:id="0">
    <w:p w14:paraId="144166F1" w14:textId="77777777" w:rsidR="00785A01" w:rsidRDefault="00785A01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8A28" w14:textId="77777777" w:rsidR="00785A01" w:rsidRDefault="00785A01" w:rsidP="004C231C">
      <w:r>
        <w:separator/>
      </w:r>
    </w:p>
  </w:footnote>
  <w:footnote w:type="continuationSeparator" w:id="0">
    <w:p w14:paraId="1FFED4B1" w14:textId="77777777" w:rsidR="00785A01" w:rsidRDefault="00785A01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4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564A"/>
    <w:rsid w:val="000062FD"/>
    <w:rsid w:val="00030376"/>
    <w:rsid w:val="00032408"/>
    <w:rsid w:val="00040C77"/>
    <w:rsid w:val="0005519A"/>
    <w:rsid w:val="00066BBC"/>
    <w:rsid w:val="000A16B2"/>
    <w:rsid w:val="000A6B09"/>
    <w:rsid w:val="000C4B30"/>
    <w:rsid w:val="001064B3"/>
    <w:rsid w:val="00112A2D"/>
    <w:rsid w:val="00116541"/>
    <w:rsid w:val="00121BF6"/>
    <w:rsid w:val="00135DBF"/>
    <w:rsid w:val="0016185A"/>
    <w:rsid w:val="001623F6"/>
    <w:rsid w:val="00184026"/>
    <w:rsid w:val="00186C65"/>
    <w:rsid w:val="001A1B4E"/>
    <w:rsid w:val="001A631E"/>
    <w:rsid w:val="001B3D79"/>
    <w:rsid w:val="001C51A4"/>
    <w:rsid w:val="001D1E8E"/>
    <w:rsid w:val="001D3FEB"/>
    <w:rsid w:val="001D53FA"/>
    <w:rsid w:val="001E49D0"/>
    <w:rsid w:val="001E5BF5"/>
    <w:rsid w:val="001E7686"/>
    <w:rsid w:val="001F5377"/>
    <w:rsid w:val="00201DA5"/>
    <w:rsid w:val="00211804"/>
    <w:rsid w:val="00217942"/>
    <w:rsid w:val="0022099E"/>
    <w:rsid w:val="00272E7B"/>
    <w:rsid w:val="002D3FC3"/>
    <w:rsid w:val="0031761E"/>
    <w:rsid w:val="00326F6E"/>
    <w:rsid w:val="00365A17"/>
    <w:rsid w:val="00373F31"/>
    <w:rsid w:val="00384036"/>
    <w:rsid w:val="0039606B"/>
    <w:rsid w:val="00396615"/>
    <w:rsid w:val="003A0298"/>
    <w:rsid w:val="003B2E8F"/>
    <w:rsid w:val="003E1701"/>
    <w:rsid w:val="003F5EBB"/>
    <w:rsid w:val="00401981"/>
    <w:rsid w:val="00414059"/>
    <w:rsid w:val="00425A8C"/>
    <w:rsid w:val="00444B9D"/>
    <w:rsid w:val="00445925"/>
    <w:rsid w:val="00463158"/>
    <w:rsid w:val="0047247F"/>
    <w:rsid w:val="0049261C"/>
    <w:rsid w:val="004B63A0"/>
    <w:rsid w:val="004C231C"/>
    <w:rsid w:val="004C7B8E"/>
    <w:rsid w:val="004D57FE"/>
    <w:rsid w:val="004F782A"/>
    <w:rsid w:val="005221FF"/>
    <w:rsid w:val="0052562A"/>
    <w:rsid w:val="00544A56"/>
    <w:rsid w:val="005545C4"/>
    <w:rsid w:val="005700EF"/>
    <w:rsid w:val="005A077B"/>
    <w:rsid w:val="005A2B3F"/>
    <w:rsid w:val="005C212A"/>
    <w:rsid w:val="005C28FF"/>
    <w:rsid w:val="005C4A2B"/>
    <w:rsid w:val="005C7A52"/>
    <w:rsid w:val="005D54D8"/>
    <w:rsid w:val="005E2907"/>
    <w:rsid w:val="005E3AC6"/>
    <w:rsid w:val="0060599B"/>
    <w:rsid w:val="00625BB2"/>
    <w:rsid w:val="00637A92"/>
    <w:rsid w:val="00644A2E"/>
    <w:rsid w:val="006475B3"/>
    <w:rsid w:val="00664B27"/>
    <w:rsid w:val="00665169"/>
    <w:rsid w:val="00693834"/>
    <w:rsid w:val="006A00C0"/>
    <w:rsid w:val="006A106F"/>
    <w:rsid w:val="006B14E2"/>
    <w:rsid w:val="006E34D5"/>
    <w:rsid w:val="006F2C04"/>
    <w:rsid w:val="00701BAA"/>
    <w:rsid w:val="0071173C"/>
    <w:rsid w:val="00715C25"/>
    <w:rsid w:val="007161C0"/>
    <w:rsid w:val="00722573"/>
    <w:rsid w:val="00731B4D"/>
    <w:rsid w:val="007605B9"/>
    <w:rsid w:val="00760911"/>
    <w:rsid w:val="00763387"/>
    <w:rsid w:val="00763EDB"/>
    <w:rsid w:val="007844EF"/>
    <w:rsid w:val="00785A01"/>
    <w:rsid w:val="007941CD"/>
    <w:rsid w:val="007A08B9"/>
    <w:rsid w:val="007E0B15"/>
    <w:rsid w:val="007F3AE4"/>
    <w:rsid w:val="007F5D52"/>
    <w:rsid w:val="008012FE"/>
    <w:rsid w:val="00820735"/>
    <w:rsid w:val="008224E1"/>
    <w:rsid w:val="00822AFC"/>
    <w:rsid w:val="00833415"/>
    <w:rsid w:val="0086304B"/>
    <w:rsid w:val="008778F9"/>
    <w:rsid w:val="00890A9A"/>
    <w:rsid w:val="008A6EB9"/>
    <w:rsid w:val="008B5F42"/>
    <w:rsid w:val="008C66E3"/>
    <w:rsid w:val="008F7420"/>
    <w:rsid w:val="00900C51"/>
    <w:rsid w:val="00912BA0"/>
    <w:rsid w:val="00923B7B"/>
    <w:rsid w:val="009539FD"/>
    <w:rsid w:val="00960FF2"/>
    <w:rsid w:val="00977034"/>
    <w:rsid w:val="009B3DA1"/>
    <w:rsid w:val="009B4B60"/>
    <w:rsid w:val="009C7D35"/>
    <w:rsid w:val="009E4184"/>
    <w:rsid w:val="009F15A7"/>
    <w:rsid w:val="009F5520"/>
    <w:rsid w:val="00A05B16"/>
    <w:rsid w:val="00A14502"/>
    <w:rsid w:val="00A157C9"/>
    <w:rsid w:val="00A26A8B"/>
    <w:rsid w:val="00A42E24"/>
    <w:rsid w:val="00A84D9C"/>
    <w:rsid w:val="00A9110A"/>
    <w:rsid w:val="00B001B6"/>
    <w:rsid w:val="00B07849"/>
    <w:rsid w:val="00B23A48"/>
    <w:rsid w:val="00B424DC"/>
    <w:rsid w:val="00B47190"/>
    <w:rsid w:val="00B53DE8"/>
    <w:rsid w:val="00B53E54"/>
    <w:rsid w:val="00B723B1"/>
    <w:rsid w:val="00B76308"/>
    <w:rsid w:val="00BA29FA"/>
    <w:rsid w:val="00BA5C01"/>
    <w:rsid w:val="00BB4DB4"/>
    <w:rsid w:val="00BD2846"/>
    <w:rsid w:val="00BE02E3"/>
    <w:rsid w:val="00BE2CF4"/>
    <w:rsid w:val="00BF440D"/>
    <w:rsid w:val="00C0350F"/>
    <w:rsid w:val="00C25793"/>
    <w:rsid w:val="00C360FE"/>
    <w:rsid w:val="00C60678"/>
    <w:rsid w:val="00C623DB"/>
    <w:rsid w:val="00C75ADD"/>
    <w:rsid w:val="00C93509"/>
    <w:rsid w:val="00C962AF"/>
    <w:rsid w:val="00CA1EA8"/>
    <w:rsid w:val="00CB7254"/>
    <w:rsid w:val="00CE6CC1"/>
    <w:rsid w:val="00D077D6"/>
    <w:rsid w:val="00D20EF8"/>
    <w:rsid w:val="00D24145"/>
    <w:rsid w:val="00D52B14"/>
    <w:rsid w:val="00D62AE5"/>
    <w:rsid w:val="00D678FD"/>
    <w:rsid w:val="00D719E9"/>
    <w:rsid w:val="00D71E86"/>
    <w:rsid w:val="00D80023"/>
    <w:rsid w:val="00DD36C1"/>
    <w:rsid w:val="00DF75A2"/>
    <w:rsid w:val="00E00293"/>
    <w:rsid w:val="00E023B3"/>
    <w:rsid w:val="00E028AD"/>
    <w:rsid w:val="00E03D27"/>
    <w:rsid w:val="00E10790"/>
    <w:rsid w:val="00E15216"/>
    <w:rsid w:val="00E16AB3"/>
    <w:rsid w:val="00E711A2"/>
    <w:rsid w:val="00EB1756"/>
    <w:rsid w:val="00EE11CC"/>
    <w:rsid w:val="00F0065F"/>
    <w:rsid w:val="00F05792"/>
    <w:rsid w:val="00F060B4"/>
    <w:rsid w:val="00F138B2"/>
    <w:rsid w:val="00F2705A"/>
    <w:rsid w:val="00F3307A"/>
    <w:rsid w:val="00F35468"/>
    <w:rsid w:val="00F61E4C"/>
    <w:rsid w:val="00FB1F6F"/>
    <w:rsid w:val="00FB68D9"/>
    <w:rsid w:val="00FC6193"/>
    <w:rsid w:val="00FD227C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opyTecProgramm">
    <w:name w:val="Copy (Tec_Programm)"/>
    <w:basedOn w:val="Standard"/>
    <w:uiPriority w:val="99"/>
    <w:rsid w:val="00211804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HelveticaNeueLT Com 45 Lt" w:eastAsia="Calibri" w:hAnsi="HelveticaNeueLT Com 45 Lt" w:cs="HelveticaNeueLT Com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3099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2019-03-06T10:10:00Z</dcterms:created>
  <dcterms:modified xsi:type="dcterms:W3CDTF">2019-03-07T17:31:00Z</dcterms:modified>
</cp:coreProperties>
</file>