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45BF" w14:textId="573D4798" w:rsidR="004C231C" w:rsidRPr="00FC6193" w:rsidRDefault="004C231C" w:rsidP="004F78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  <w:sz w:val="22"/>
        </w:rPr>
      </w:pPr>
      <w:r w:rsidRPr="00C803B6">
        <w:rPr>
          <w:rFonts w:ascii="Verdana" w:hAnsi="Verdana"/>
          <w:sz w:val="22"/>
        </w:rPr>
        <w:t xml:space="preserve">Presseinformation </w:t>
      </w:r>
      <w:r w:rsidR="00C803B6">
        <w:rPr>
          <w:rFonts w:ascii="Verdana" w:hAnsi="Verdana"/>
          <w:sz w:val="22"/>
        </w:rPr>
        <w:t>02</w:t>
      </w:r>
      <w:r w:rsidRPr="00C803B6">
        <w:rPr>
          <w:rFonts w:ascii="Verdana" w:hAnsi="Verdana"/>
          <w:sz w:val="22"/>
        </w:rPr>
        <w:t>/201</w:t>
      </w:r>
      <w:r w:rsidR="0031761E" w:rsidRPr="00C803B6">
        <w:rPr>
          <w:rFonts w:ascii="Verdana" w:hAnsi="Verdana"/>
          <w:sz w:val="22"/>
        </w:rPr>
        <w:t>9</w:t>
      </w:r>
      <w:r w:rsidRPr="00FC6193">
        <w:rPr>
          <w:rFonts w:ascii="Verdana" w:hAnsi="Verdana"/>
          <w:sz w:val="22"/>
        </w:rPr>
        <w:t xml:space="preserve"> </w:t>
      </w:r>
    </w:p>
    <w:p w14:paraId="7F395925" w14:textId="77777777" w:rsidR="004C231C" w:rsidRPr="00FC6193" w:rsidRDefault="004C231C" w:rsidP="004C231C">
      <w:pPr>
        <w:jc w:val="both"/>
        <w:rPr>
          <w:rFonts w:ascii="Verdana" w:hAnsi="Verdana" w:cs="Arial"/>
        </w:rPr>
      </w:pPr>
    </w:p>
    <w:p w14:paraId="561DD973" w14:textId="77777777" w:rsidR="004C231C" w:rsidRPr="00FC6193" w:rsidRDefault="004C231C" w:rsidP="004C231C">
      <w:pPr>
        <w:jc w:val="both"/>
        <w:rPr>
          <w:rFonts w:ascii="Verdana" w:hAnsi="Verdana" w:cs="Arial"/>
        </w:rPr>
      </w:pPr>
    </w:p>
    <w:p w14:paraId="522BF81A" w14:textId="3C8D6AE6" w:rsidR="004C231C" w:rsidRPr="00FC6193" w:rsidRDefault="0046553F" w:rsidP="004C231C">
      <w:pPr>
        <w:ind w:right="2268"/>
        <w:jc w:val="both"/>
        <w:rPr>
          <w:rFonts w:ascii="Verdana" w:hAnsi="Verdana" w:cs="Arial"/>
          <w:b/>
          <w:sz w:val="22"/>
        </w:rPr>
      </w:pPr>
      <w:proofErr w:type="spellStart"/>
      <w:r>
        <w:rPr>
          <w:rFonts w:ascii="Verdana" w:hAnsi="Verdana" w:cs="Arial"/>
          <w:b/>
          <w:sz w:val="22"/>
        </w:rPr>
        <w:t>t</w:t>
      </w:r>
      <w:r w:rsidR="004C231C" w:rsidRPr="00FC6193">
        <w:rPr>
          <w:rFonts w:ascii="Verdana" w:hAnsi="Verdana" w:cs="Arial"/>
          <w:b/>
          <w:sz w:val="22"/>
        </w:rPr>
        <w:t>ecalor</w:t>
      </w:r>
      <w:proofErr w:type="spellEnd"/>
      <w:r w:rsidR="004C231C" w:rsidRPr="00FC6193">
        <w:rPr>
          <w:rFonts w:ascii="Verdana" w:hAnsi="Verdana" w:cs="Arial"/>
          <w:b/>
          <w:sz w:val="22"/>
        </w:rPr>
        <w:t xml:space="preserve"> GmbH, Holzminden</w:t>
      </w:r>
    </w:p>
    <w:p w14:paraId="7BD9E9CA" w14:textId="77777777"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14:paraId="71EADD3F" w14:textId="77777777"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14:paraId="5A36A542" w14:textId="77777777" w:rsidR="0031761E" w:rsidRPr="0031761E" w:rsidRDefault="00693834" w:rsidP="0031761E">
      <w:pPr>
        <w:ind w:right="2268"/>
        <w:rPr>
          <w:rFonts w:ascii="Verdana" w:hAnsi="Verdana" w:cs="Arial"/>
          <w:b/>
          <w:sz w:val="26"/>
          <w:szCs w:val="28"/>
        </w:rPr>
      </w:pPr>
      <w:r>
        <w:rPr>
          <w:rFonts w:ascii="Verdana" w:hAnsi="Verdana" w:cs="Arial"/>
          <w:b/>
          <w:sz w:val="26"/>
          <w:szCs w:val="28"/>
        </w:rPr>
        <w:t>Effiziente Lüftungsheizung</w:t>
      </w:r>
    </w:p>
    <w:p w14:paraId="7D6EBA0D" w14:textId="77777777" w:rsidR="0031761E" w:rsidRPr="00FC6193" w:rsidRDefault="0031761E" w:rsidP="004C231C">
      <w:pPr>
        <w:ind w:right="2268"/>
        <w:rPr>
          <w:rFonts w:ascii="Verdana" w:hAnsi="Verdana"/>
          <w:bCs/>
          <w:sz w:val="26"/>
        </w:rPr>
      </w:pPr>
    </w:p>
    <w:p w14:paraId="1BE48634" w14:textId="77777777" w:rsidR="004C231C" w:rsidRPr="00FC6193" w:rsidRDefault="004C231C" w:rsidP="004C231C">
      <w:pPr>
        <w:rPr>
          <w:rStyle w:val="Fett"/>
        </w:rPr>
      </w:pPr>
    </w:p>
    <w:p w14:paraId="28FD2793" w14:textId="40FEC161" w:rsidR="0031761E" w:rsidRPr="0031761E" w:rsidRDefault="00693834" w:rsidP="004C231C">
      <w:pPr>
        <w:ind w:right="2268"/>
        <w:rPr>
          <w:rStyle w:val="Fett"/>
          <w:rFonts w:ascii="Verdana" w:hAnsi="Verdana" w:cs="Arial"/>
          <w:sz w:val="22"/>
          <w:szCs w:val="22"/>
        </w:rPr>
      </w:pPr>
      <w:r>
        <w:rPr>
          <w:rStyle w:val="Fett"/>
          <w:rFonts w:ascii="Verdana" w:hAnsi="Verdana" w:cs="Arial"/>
          <w:sz w:val="22"/>
          <w:szCs w:val="22"/>
        </w:rPr>
        <w:t>Mit dem TCO 2.5 p</w:t>
      </w:r>
      <w:r w:rsidR="001B3D79">
        <w:rPr>
          <w:rStyle w:val="Fett"/>
          <w:rFonts w:ascii="Verdana" w:hAnsi="Verdana" w:cs="Arial"/>
          <w:sz w:val="22"/>
          <w:szCs w:val="22"/>
        </w:rPr>
        <w:t xml:space="preserve">räsentiert </w:t>
      </w:r>
      <w:proofErr w:type="spellStart"/>
      <w:r w:rsidR="001B3D79">
        <w:rPr>
          <w:rStyle w:val="Fett"/>
          <w:rFonts w:ascii="Verdana" w:hAnsi="Verdana" w:cs="Arial"/>
          <w:sz w:val="22"/>
          <w:szCs w:val="22"/>
        </w:rPr>
        <w:t>tecalor</w:t>
      </w:r>
      <w:proofErr w:type="spellEnd"/>
      <w:r w:rsidR="001B3D79">
        <w:rPr>
          <w:rStyle w:val="Fett"/>
          <w:rFonts w:ascii="Verdana" w:hAnsi="Verdana" w:cs="Arial"/>
          <w:sz w:val="22"/>
          <w:szCs w:val="22"/>
        </w:rPr>
        <w:t xml:space="preserve"> ein Lüftungsheiz</w:t>
      </w:r>
      <w:r>
        <w:rPr>
          <w:rStyle w:val="Fett"/>
          <w:rFonts w:ascii="Verdana" w:hAnsi="Verdana" w:cs="Arial"/>
          <w:sz w:val="22"/>
          <w:szCs w:val="22"/>
        </w:rPr>
        <w:t>gerät für Ener</w:t>
      </w:r>
      <w:r w:rsidR="00EB1756">
        <w:rPr>
          <w:rStyle w:val="Fett"/>
          <w:rFonts w:ascii="Verdana" w:hAnsi="Verdana" w:cs="Arial"/>
          <w:sz w:val="22"/>
          <w:szCs w:val="22"/>
        </w:rPr>
        <w:t>gieeffizienz- und Passivhäuser</w:t>
      </w:r>
    </w:p>
    <w:p w14:paraId="12E3EC1A" w14:textId="77777777" w:rsidR="004C231C" w:rsidRPr="00FC6193" w:rsidRDefault="004C231C" w:rsidP="004C231C">
      <w:pPr>
        <w:tabs>
          <w:tab w:val="left" w:pos="1985"/>
          <w:tab w:val="left" w:pos="2655"/>
        </w:tabs>
        <w:jc w:val="both"/>
        <w:rPr>
          <w:rStyle w:val="Fett"/>
        </w:rPr>
      </w:pPr>
    </w:p>
    <w:p w14:paraId="4CE54FAD" w14:textId="303480CF" w:rsidR="0031761E" w:rsidRDefault="00693834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1C51A4">
        <w:rPr>
          <w:rFonts w:ascii="Verdana" w:hAnsi="Verdana" w:cs="Arial"/>
          <w:spacing w:val="-2"/>
          <w:sz w:val="22"/>
          <w:szCs w:val="22"/>
        </w:rPr>
        <w:t>Je effizienter Energie im Haus eingesetzt und zurückgewonnen wird, desto spezifischer können die</w:t>
      </w:r>
      <w:r>
        <w:rPr>
          <w:rFonts w:ascii="Verdana" w:hAnsi="Verdana" w:cs="Arial"/>
          <w:sz w:val="22"/>
          <w:szCs w:val="22"/>
        </w:rPr>
        <w:t xml:space="preserve"> Haustechnik-Systeme sein. Ein</w:t>
      </w:r>
      <w:r w:rsidR="00C93B4D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 xml:space="preserve"> Photovoltaik-Anlage auf dem Dach und ein kompaktes Lüftungsintegralgerät für Lüften, Heizen und Warmwasserbereitung reichen heutzutage</w:t>
      </w:r>
      <w:r w:rsidR="001C51A4">
        <w:rPr>
          <w:rFonts w:ascii="Verdana" w:hAnsi="Verdana" w:cs="Arial"/>
          <w:sz w:val="22"/>
          <w:szCs w:val="22"/>
        </w:rPr>
        <w:t xml:space="preserve"> bei Neubauten</w:t>
      </w:r>
      <w:r>
        <w:rPr>
          <w:rFonts w:ascii="Verdana" w:hAnsi="Verdana" w:cs="Arial"/>
          <w:sz w:val="22"/>
          <w:szCs w:val="22"/>
        </w:rPr>
        <w:t xml:space="preserve"> in </w:t>
      </w:r>
      <w:r w:rsidR="001C51A4">
        <w:rPr>
          <w:rFonts w:ascii="Verdana" w:hAnsi="Verdana" w:cs="Arial"/>
          <w:sz w:val="22"/>
          <w:szCs w:val="22"/>
        </w:rPr>
        <w:t>den meisten</w:t>
      </w:r>
      <w:r>
        <w:rPr>
          <w:rFonts w:ascii="Verdana" w:hAnsi="Verdana" w:cs="Arial"/>
          <w:sz w:val="22"/>
          <w:szCs w:val="22"/>
        </w:rPr>
        <w:t xml:space="preserve"> Fällen aus. Das Lüftungsheizgerät TCO 2.5 von </w:t>
      </w:r>
      <w:proofErr w:type="spellStart"/>
      <w:r>
        <w:rPr>
          <w:rFonts w:ascii="Verdana" w:hAnsi="Verdana" w:cs="Arial"/>
          <w:sz w:val="22"/>
          <w:szCs w:val="22"/>
        </w:rPr>
        <w:t>tecalor</w:t>
      </w:r>
      <w:proofErr w:type="spellEnd"/>
      <w:r>
        <w:rPr>
          <w:rFonts w:ascii="Verdana" w:hAnsi="Verdana" w:cs="Arial"/>
          <w:sz w:val="22"/>
          <w:szCs w:val="22"/>
        </w:rPr>
        <w:t xml:space="preserve"> wurde speziell für Gebäude mit niedrigem Heizbedarf entwickelt.</w:t>
      </w:r>
    </w:p>
    <w:p w14:paraId="142E7C76" w14:textId="77777777" w:rsidR="00693834" w:rsidRDefault="00693834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14:paraId="566981D3" w14:textId="77777777" w:rsidR="001C51A4" w:rsidRPr="001C51A4" w:rsidRDefault="001C51A4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1C51A4">
        <w:rPr>
          <w:rFonts w:ascii="Verdana" w:hAnsi="Verdana" w:cs="Arial"/>
          <w:b/>
          <w:sz w:val="22"/>
          <w:szCs w:val="22"/>
        </w:rPr>
        <w:t>Lüftungsgerät mit Wärmepumpe</w:t>
      </w:r>
    </w:p>
    <w:p w14:paraId="28A65605" w14:textId="17210C41" w:rsidR="00693834" w:rsidRDefault="00693834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Wie der Name verheißt, ist das TCO zuerst ein Lüftungsgerät, das aus</w:t>
      </w:r>
      <w:r w:rsidR="00C93B4D">
        <w:rPr>
          <w:rFonts w:ascii="Verdana" w:hAnsi="Verdana" w:cs="Arial"/>
          <w:sz w:val="22"/>
          <w:szCs w:val="22"/>
        </w:rPr>
        <w:t xml:space="preserve"> den Ablufträumen</w:t>
      </w:r>
      <w:r>
        <w:rPr>
          <w:rFonts w:ascii="Verdana" w:hAnsi="Verdana" w:cs="Arial"/>
          <w:sz w:val="22"/>
          <w:szCs w:val="22"/>
        </w:rPr>
        <w:t xml:space="preserve"> Küche und Bad Luft ansaugt, ihr </w:t>
      </w:r>
      <w:r w:rsidR="0086304B">
        <w:rPr>
          <w:rFonts w:ascii="Verdana" w:hAnsi="Verdana" w:cs="Arial"/>
          <w:sz w:val="22"/>
          <w:szCs w:val="22"/>
        </w:rPr>
        <w:t>rund 90 Prozent der</w:t>
      </w:r>
      <w:r>
        <w:rPr>
          <w:rFonts w:ascii="Verdana" w:hAnsi="Verdana" w:cs="Arial"/>
          <w:sz w:val="22"/>
          <w:szCs w:val="22"/>
        </w:rPr>
        <w:t xml:space="preserve"> Wärme entzieht, diese der Frischl</w:t>
      </w:r>
      <w:bookmarkStart w:id="0" w:name="_GoBack"/>
      <w:bookmarkEnd w:id="0"/>
      <w:r>
        <w:rPr>
          <w:rFonts w:ascii="Verdana" w:hAnsi="Verdana" w:cs="Arial"/>
          <w:sz w:val="22"/>
          <w:szCs w:val="22"/>
        </w:rPr>
        <w:t xml:space="preserve">uft zuführt und </w:t>
      </w:r>
      <w:r w:rsidR="0086304B">
        <w:rPr>
          <w:rFonts w:ascii="Verdana" w:hAnsi="Verdana" w:cs="Arial"/>
          <w:sz w:val="22"/>
          <w:szCs w:val="22"/>
        </w:rPr>
        <w:t>die warme</w:t>
      </w:r>
      <w:r w:rsidR="001C51A4">
        <w:rPr>
          <w:rFonts w:ascii="Verdana" w:hAnsi="Verdana" w:cs="Arial"/>
          <w:sz w:val="22"/>
          <w:szCs w:val="22"/>
        </w:rPr>
        <w:t>,</w:t>
      </w:r>
      <w:r w:rsidR="0086304B">
        <w:rPr>
          <w:rFonts w:ascii="Verdana" w:hAnsi="Verdana" w:cs="Arial"/>
          <w:sz w:val="22"/>
          <w:szCs w:val="22"/>
        </w:rPr>
        <w:t xml:space="preserve"> frische Luft in d</w:t>
      </w:r>
      <w:r w:rsidR="001C51A4">
        <w:rPr>
          <w:rFonts w:ascii="Verdana" w:hAnsi="Verdana" w:cs="Arial"/>
          <w:sz w:val="22"/>
          <w:szCs w:val="22"/>
        </w:rPr>
        <w:t>ie</w:t>
      </w:r>
      <w:r w:rsidR="0086304B">
        <w:rPr>
          <w:rFonts w:ascii="Verdana" w:hAnsi="Verdana" w:cs="Arial"/>
          <w:sz w:val="22"/>
          <w:szCs w:val="22"/>
        </w:rPr>
        <w:t xml:space="preserve"> Wohnbereiche einspeist. In das Lüftungsheizgerät wurde zudem eine vollwertige Inverter-Luft-Wasser-Wärmepumpe </w:t>
      </w:r>
      <w:r w:rsidR="001C51A4">
        <w:rPr>
          <w:rFonts w:ascii="Verdana" w:hAnsi="Verdana" w:cs="Arial"/>
          <w:sz w:val="22"/>
          <w:szCs w:val="22"/>
        </w:rPr>
        <w:t>mit ein</w:t>
      </w:r>
      <w:r w:rsidR="0046553F">
        <w:rPr>
          <w:rFonts w:ascii="Verdana" w:hAnsi="Verdana" w:cs="Arial"/>
          <w:sz w:val="22"/>
          <w:szCs w:val="22"/>
        </w:rPr>
        <w:t>er Leistungszahl von bis zu 4,6</w:t>
      </w:r>
      <w:r w:rsidR="001C51A4">
        <w:rPr>
          <w:rFonts w:ascii="Verdana" w:hAnsi="Verdana" w:cs="Arial"/>
          <w:sz w:val="22"/>
          <w:szCs w:val="22"/>
        </w:rPr>
        <w:t xml:space="preserve"> </w:t>
      </w:r>
      <w:r w:rsidR="0086304B">
        <w:rPr>
          <w:rFonts w:ascii="Verdana" w:hAnsi="Verdana" w:cs="Arial"/>
          <w:sz w:val="22"/>
          <w:szCs w:val="22"/>
        </w:rPr>
        <w:t xml:space="preserve">integriert. </w:t>
      </w:r>
      <w:r w:rsidR="009F15A7">
        <w:rPr>
          <w:rFonts w:ascii="Verdana" w:hAnsi="Verdana" w:cs="Arial"/>
          <w:sz w:val="22"/>
          <w:szCs w:val="22"/>
        </w:rPr>
        <w:t>Sie ermöglich</w:t>
      </w:r>
      <w:r w:rsidR="00C803B6">
        <w:rPr>
          <w:rFonts w:ascii="Verdana" w:hAnsi="Verdana" w:cs="Arial"/>
          <w:sz w:val="22"/>
          <w:szCs w:val="22"/>
        </w:rPr>
        <w:t>t Warmwassertemperaturen von 60</w:t>
      </w:r>
      <w:r w:rsidR="009F15A7">
        <w:rPr>
          <w:rFonts w:ascii="Verdana" w:hAnsi="Verdana" w:cs="Arial"/>
          <w:sz w:val="22"/>
          <w:szCs w:val="22"/>
        </w:rPr>
        <w:t xml:space="preserve">°C und kann die Zuluft ergänzend erwärmen. </w:t>
      </w:r>
    </w:p>
    <w:p w14:paraId="103EB38B" w14:textId="77777777" w:rsidR="009F15A7" w:rsidRDefault="009F15A7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14:paraId="507A980A" w14:textId="77777777" w:rsidR="001C51A4" w:rsidRPr="001C51A4" w:rsidRDefault="001C51A4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1C51A4">
        <w:rPr>
          <w:rFonts w:ascii="Verdana" w:hAnsi="Verdana" w:cs="Arial"/>
          <w:b/>
          <w:sz w:val="22"/>
          <w:szCs w:val="22"/>
        </w:rPr>
        <w:t>Heizen über die Lüftung</w:t>
      </w:r>
    </w:p>
    <w:p w14:paraId="0A27887C" w14:textId="7E022859" w:rsidR="009F15A7" w:rsidRPr="005E3AC6" w:rsidRDefault="009F15A7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pacing w:val="-4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Heizwärme in Wohnhäusern</w:t>
      </w:r>
      <w:r w:rsidR="006178B9">
        <w:rPr>
          <w:rFonts w:ascii="Verdana" w:hAnsi="Verdana" w:cs="Arial"/>
          <w:sz w:val="22"/>
          <w:szCs w:val="22"/>
        </w:rPr>
        <w:t xml:space="preserve"> der höchsten Effizienzklassen </w:t>
      </w:r>
      <w:r>
        <w:rPr>
          <w:rFonts w:ascii="Verdana" w:hAnsi="Verdana" w:cs="Arial"/>
          <w:sz w:val="22"/>
          <w:szCs w:val="22"/>
        </w:rPr>
        <w:t xml:space="preserve">lässt sich </w:t>
      </w:r>
      <w:r w:rsidR="001C51A4">
        <w:rPr>
          <w:rFonts w:ascii="Verdana" w:hAnsi="Verdana" w:cs="Arial"/>
          <w:sz w:val="22"/>
          <w:szCs w:val="22"/>
        </w:rPr>
        <w:t xml:space="preserve">mit diesem </w:t>
      </w:r>
      <w:r w:rsidR="001B3D79">
        <w:rPr>
          <w:rFonts w:ascii="Verdana" w:hAnsi="Verdana" w:cs="Arial"/>
          <w:sz w:val="22"/>
          <w:szCs w:val="22"/>
        </w:rPr>
        <w:t>Lüftungsheiz</w:t>
      </w:r>
      <w:r w:rsidR="001C51A4">
        <w:rPr>
          <w:rFonts w:ascii="Verdana" w:hAnsi="Verdana" w:cs="Arial"/>
          <w:sz w:val="22"/>
          <w:szCs w:val="22"/>
        </w:rPr>
        <w:t>gerät</w:t>
      </w:r>
      <w:r>
        <w:rPr>
          <w:rFonts w:ascii="Verdana" w:hAnsi="Verdana" w:cs="Arial"/>
          <w:sz w:val="22"/>
          <w:szCs w:val="22"/>
        </w:rPr>
        <w:t xml:space="preserve"> komfortabel und </w:t>
      </w:r>
      <w:r>
        <w:rPr>
          <w:rFonts w:ascii="Verdana" w:hAnsi="Verdana" w:cs="Arial"/>
          <w:sz w:val="22"/>
          <w:szCs w:val="22"/>
        </w:rPr>
        <w:lastRenderedPageBreak/>
        <w:t xml:space="preserve">effizient über die </w:t>
      </w:r>
      <w:r w:rsidR="00E03D27">
        <w:rPr>
          <w:rFonts w:ascii="Verdana" w:hAnsi="Verdana" w:cs="Arial"/>
          <w:sz w:val="22"/>
          <w:szCs w:val="22"/>
        </w:rPr>
        <w:t>Raumluft verteilen: die Lüftungsheizung</w:t>
      </w:r>
      <w:r>
        <w:rPr>
          <w:rFonts w:ascii="Verdana" w:hAnsi="Verdana" w:cs="Arial"/>
          <w:sz w:val="22"/>
          <w:szCs w:val="22"/>
        </w:rPr>
        <w:t xml:space="preserve"> </w:t>
      </w:r>
      <w:r w:rsidR="00F06F92">
        <w:rPr>
          <w:rFonts w:ascii="Verdana" w:hAnsi="Verdana" w:cs="Arial"/>
          <w:sz w:val="22"/>
          <w:szCs w:val="22"/>
        </w:rPr>
        <w:t>speist zudem dank</w:t>
      </w:r>
      <w:r w:rsidR="00E03D27">
        <w:rPr>
          <w:rFonts w:ascii="Verdana" w:hAnsi="Verdana" w:cs="Arial"/>
          <w:sz w:val="22"/>
          <w:szCs w:val="22"/>
        </w:rPr>
        <w:t xml:space="preserve"> eines </w:t>
      </w:r>
      <w:r w:rsidR="00E03D27" w:rsidRPr="00E03D27">
        <w:rPr>
          <w:rFonts w:ascii="Verdana" w:hAnsi="Verdana" w:cs="Arial"/>
          <w:sz w:val="22"/>
          <w:szCs w:val="22"/>
        </w:rPr>
        <w:t>Enthalpie-Kreuzgegenstrom-Wärmetauscher</w:t>
      </w:r>
      <w:r w:rsidR="00E03D27">
        <w:rPr>
          <w:rFonts w:ascii="Verdana" w:hAnsi="Verdana" w:cs="Arial"/>
          <w:sz w:val="22"/>
          <w:szCs w:val="22"/>
        </w:rPr>
        <w:t xml:space="preserve">s bis zu 65 Prozent der Luftfeuchtigkeit wieder ein. </w:t>
      </w:r>
      <w:r w:rsidR="00EB1756">
        <w:rPr>
          <w:rFonts w:ascii="Verdana" w:hAnsi="Verdana" w:cs="Arial"/>
          <w:sz w:val="22"/>
          <w:szCs w:val="22"/>
        </w:rPr>
        <w:t xml:space="preserve">Durch verschiedene Filterstufen bis hin zum Kohleaktiv- </w:t>
      </w:r>
      <w:r w:rsidR="00EB1756" w:rsidRPr="005E3AC6">
        <w:rPr>
          <w:rFonts w:ascii="Verdana" w:hAnsi="Verdana" w:cs="Arial"/>
          <w:spacing w:val="-4"/>
          <w:sz w:val="22"/>
          <w:szCs w:val="22"/>
        </w:rPr>
        <w:t xml:space="preserve">oder Pollenfilter gewährleistet die Lüftung </w:t>
      </w:r>
      <w:r w:rsidR="00B34CB7">
        <w:rPr>
          <w:rFonts w:ascii="Verdana" w:hAnsi="Verdana" w:cs="Arial"/>
          <w:spacing w:val="-4"/>
          <w:sz w:val="22"/>
          <w:szCs w:val="22"/>
        </w:rPr>
        <w:t xml:space="preserve">mit entsprechendem Zubehör </w:t>
      </w:r>
      <w:r w:rsidR="00EB1756" w:rsidRPr="005E3AC6">
        <w:rPr>
          <w:rFonts w:ascii="Verdana" w:hAnsi="Verdana" w:cs="Arial"/>
          <w:spacing w:val="-4"/>
          <w:sz w:val="22"/>
          <w:szCs w:val="22"/>
        </w:rPr>
        <w:t xml:space="preserve">exzellente Luftqualität und hohen Wohnkomfort. </w:t>
      </w:r>
      <w:r w:rsidR="00E03D27" w:rsidRPr="005E3AC6">
        <w:rPr>
          <w:rFonts w:ascii="Verdana" w:hAnsi="Verdana" w:cs="Arial"/>
          <w:spacing w:val="-4"/>
          <w:sz w:val="22"/>
          <w:szCs w:val="22"/>
        </w:rPr>
        <w:t>Wer aus Komfortgründen zusätzlich eine wassergeführte Fußbodenheizung oder Radiatoren – beispielsweise im Bad – installieren möchte, kann diese direkt an das TCO 2.5 anschließen.</w:t>
      </w:r>
      <w:r w:rsidR="00C93B4D">
        <w:rPr>
          <w:rFonts w:ascii="Verdana" w:hAnsi="Verdana" w:cs="Arial"/>
          <w:spacing w:val="-4"/>
          <w:sz w:val="22"/>
          <w:szCs w:val="22"/>
        </w:rPr>
        <w:t xml:space="preserve"> Denkbar ist zudem der Einsatz dezentraler elektrische Zusatzheizungen, um kurzzeitige</w:t>
      </w:r>
      <w:r w:rsidR="00B34CB7">
        <w:rPr>
          <w:rFonts w:ascii="Verdana" w:hAnsi="Verdana" w:cs="Arial"/>
          <w:spacing w:val="-4"/>
          <w:sz w:val="22"/>
          <w:szCs w:val="22"/>
        </w:rPr>
        <w:t>n</w:t>
      </w:r>
      <w:r w:rsidR="00F06F92">
        <w:rPr>
          <w:rFonts w:ascii="Verdana" w:hAnsi="Verdana" w:cs="Arial"/>
          <w:spacing w:val="-4"/>
          <w:sz w:val="22"/>
          <w:szCs w:val="22"/>
        </w:rPr>
        <w:t>,</w:t>
      </w:r>
      <w:r w:rsidR="00C93B4D">
        <w:rPr>
          <w:rFonts w:ascii="Verdana" w:hAnsi="Verdana" w:cs="Arial"/>
          <w:spacing w:val="-4"/>
          <w:sz w:val="22"/>
          <w:szCs w:val="22"/>
        </w:rPr>
        <w:t xml:space="preserve"> lokal begrenzte</w:t>
      </w:r>
      <w:r w:rsidR="00B34CB7">
        <w:rPr>
          <w:rFonts w:ascii="Verdana" w:hAnsi="Verdana" w:cs="Arial"/>
          <w:spacing w:val="-4"/>
          <w:sz w:val="22"/>
          <w:szCs w:val="22"/>
        </w:rPr>
        <w:t>n</w:t>
      </w:r>
      <w:r w:rsidR="00C93B4D">
        <w:rPr>
          <w:rFonts w:ascii="Verdana" w:hAnsi="Verdana" w:cs="Arial"/>
          <w:spacing w:val="-4"/>
          <w:sz w:val="22"/>
          <w:szCs w:val="22"/>
        </w:rPr>
        <w:t xml:space="preserve"> Wärmebedarf bequem und effizient zu bedienen. </w:t>
      </w:r>
    </w:p>
    <w:p w14:paraId="29ABB026" w14:textId="77777777" w:rsidR="00E03D27" w:rsidRDefault="00E03D27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14:paraId="3A917700" w14:textId="77777777" w:rsidR="001C51A4" w:rsidRPr="001C51A4" w:rsidRDefault="001C51A4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1C51A4">
        <w:rPr>
          <w:rFonts w:ascii="Verdana" w:hAnsi="Verdana" w:cs="Arial"/>
          <w:b/>
          <w:sz w:val="22"/>
          <w:szCs w:val="22"/>
        </w:rPr>
        <w:t>Alles in einem Gerät</w:t>
      </w:r>
    </w:p>
    <w:p w14:paraId="798F02A1" w14:textId="444EB720" w:rsidR="00E03D27" w:rsidRDefault="00E03D27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1C51A4">
        <w:rPr>
          <w:rFonts w:ascii="Verdana" w:hAnsi="Verdana" w:cs="Arial"/>
          <w:spacing w:val="-6"/>
          <w:sz w:val="22"/>
          <w:szCs w:val="22"/>
        </w:rPr>
        <w:t>Die Wärmeleistung d</w:t>
      </w:r>
      <w:r w:rsidR="001C51A4" w:rsidRPr="001C51A4">
        <w:rPr>
          <w:rFonts w:ascii="Verdana" w:hAnsi="Verdana" w:cs="Arial"/>
          <w:spacing w:val="-6"/>
          <w:sz w:val="22"/>
          <w:szCs w:val="22"/>
        </w:rPr>
        <w:t>ies</w:t>
      </w:r>
      <w:r w:rsidRPr="001C51A4">
        <w:rPr>
          <w:rFonts w:ascii="Verdana" w:hAnsi="Verdana" w:cs="Arial"/>
          <w:spacing w:val="-6"/>
          <w:sz w:val="22"/>
          <w:szCs w:val="22"/>
        </w:rPr>
        <w:t xml:space="preserve">es Lüftungsheizgeräts von </w:t>
      </w:r>
      <w:proofErr w:type="spellStart"/>
      <w:r w:rsidRPr="001C51A4">
        <w:rPr>
          <w:rFonts w:ascii="Verdana" w:hAnsi="Verdana" w:cs="Arial"/>
          <w:spacing w:val="-6"/>
          <w:sz w:val="22"/>
          <w:szCs w:val="22"/>
        </w:rPr>
        <w:t>tecalor</w:t>
      </w:r>
      <w:proofErr w:type="spellEnd"/>
      <w:r w:rsidRPr="001C51A4">
        <w:rPr>
          <w:rFonts w:ascii="Verdana" w:hAnsi="Verdana" w:cs="Arial"/>
          <w:spacing w:val="-6"/>
          <w:sz w:val="22"/>
          <w:szCs w:val="22"/>
        </w:rPr>
        <w:t xml:space="preserve"> beträgt bis zu 2,5 Kilowatt bei einem Wärmebereitstellungsgrad von rund 90 Prozent. Ein 200-Liter-</w:t>
      </w:r>
      <w:r w:rsidR="00C93B4D">
        <w:rPr>
          <w:rFonts w:ascii="Verdana" w:hAnsi="Verdana" w:cs="Arial"/>
          <w:spacing w:val="-6"/>
          <w:sz w:val="22"/>
          <w:szCs w:val="22"/>
        </w:rPr>
        <w:t>Warmwasser</w:t>
      </w:r>
      <w:r w:rsidR="00B34CB7">
        <w:rPr>
          <w:rFonts w:ascii="Verdana" w:hAnsi="Verdana" w:cs="Arial"/>
          <w:spacing w:val="-6"/>
          <w:sz w:val="22"/>
          <w:szCs w:val="22"/>
        </w:rPr>
        <w:t>s</w:t>
      </w:r>
      <w:r w:rsidRPr="001C51A4">
        <w:rPr>
          <w:rFonts w:ascii="Verdana" w:hAnsi="Verdana" w:cs="Arial"/>
          <w:spacing w:val="-6"/>
          <w:sz w:val="22"/>
          <w:szCs w:val="22"/>
        </w:rPr>
        <w:t>peicher</w:t>
      </w:r>
      <w:r>
        <w:rPr>
          <w:rFonts w:ascii="Verdana" w:hAnsi="Verdana" w:cs="Arial"/>
          <w:sz w:val="22"/>
          <w:szCs w:val="22"/>
        </w:rPr>
        <w:t xml:space="preserve"> findet in der kompakten Haustechnik-Zentrale ebenfalls Platz. </w:t>
      </w:r>
      <w:r w:rsidR="001C51A4">
        <w:rPr>
          <w:rFonts w:ascii="Verdana" w:hAnsi="Verdana" w:cs="Arial"/>
          <w:sz w:val="22"/>
          <w:szCs w:val="22"/>
        </w:rPr>
        <w:t xml:space="preserve">Da somit </w:t>
      </w:r>
      <w:r w:rsidR="00F06F92">
        <w:rPr>
          <w:rFonts w:ascii="Verdana" w:hAnsi="Verdana" w:cs="Arial"/>
          <w:sz w:val="22"/>
          <w:szCs w:val="22"/>
        </w:rPr>
        <w:t>alle Komponenten für Heizen, Lüf</w:t>
      </w:r>
      <w:r w:rsidR="001C51A4">
        <w:rPr>
          <w:rFonts w:ascii="Verdana" w:hAnsi="Verdana" w:cs="Arial"/>
          <w:sz w:val="22"/>
          <w:szCs w:val="22"/>
        </w:rPr>
        <w:t>ten und Warmwasserbereitung in diesem System integriert sind, reduziert sich der Aufwand für Planung und Installation</w:t>
      </w:r>
      <w:r w:rsidR="001B3D79">
        <w:rPr>
          <w:rFonts w:ascii="Verdana" w:hAnsi="Verdana" w:cs="Arial"/>
          <w:sz w:val="22"/>
          <w:szCs w:val="22"/>
        </w:rPr>
        <w:t>.</w:t>
      </w:r>
    </w:p>
    <w:p w14:paraId="7E64CD33" w14:textId="77777777" w:rsidR="00B723B1" w:rsidRDefault="00B723B1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14:paraId="7C212153" w14:textId="77777777" w:rsidR="001C51A4" w:rsidRPr="001C51A4" w:rsidRDefault="001C51A4" w:rsidP="0031761E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1C51A4">
        <w:rPr>
          <w:rFonts w:ascii="Verdana" w:hAnsi="Verdana" w:cs="Arial"/>
          <w:b/>
          <w:sz w:val="22"/>
          <w:szCs w:val="22"/>
        </w:rPr>
        <w:t>Maßgeschneidert und nachhaltig</w:t>
      </w:r>
    </w:p>
    <w:p w14:paraId="1E085A7A" w14:textId="393BB805" w:rsidR="00B723B1" w:rsidRDefault="00B723B1" w:rsidP="00B264FE">
      <w:pPr>
        <w:tabs>
          <w:tab w:val="left" w:pos="6804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Das Lüftungsheizgerät TCO 2.5 ist die maßgeschneiderte Lösung für Gebäude mit niedrigem Heizenergiebedarf. Es sorgt dort für angenehme Raumtemperaturen ohne zusätzlich installierte Heizung. Dank dieses </w:t>
      </w:r>
      <w:r w:rsidR="001E5BF5">
        <w:rPr>
          <w:rFonts w:ascii="Verdana" w:hAnsi="Verdana" w:cs="Arial"/>
          <w:sz w:val="22"/>
          <w:szCs w:val="22"/>
        </w:rPr>
        <w:t xml:space="preserve">nachhaltigen Umgangs mit Energie und Ressourcen trägt das TCO zur Förderfähigkeit von Neubauten bei. </w:t>
      </w:r>
    </w:p>
    <w:p w14:paraId="21FFD9B1" w14:textId="77777777" w:rsidR="00F7440E" w:rsidRDefault="00F7440E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14:paraId="16EEED2D" w14:textId="1BD6FEF6" w:rsidR="004C231C" w:rsidRPr="00FC619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31761E">
        <w:rPr>
          <w:rFonts w:ascii="Verdana" w:hAnsi="Verdana" w:cs="Arial"/>
          <w:sz w:val="22"/>
          <w:szCs w:val="22"/>
        </w:rPr>
        <w:t>2.</w:t>
      </w:r>
      <w:r w:rsidR="00B34CB7">
        <w:rPr>
          <w:rFonts w:ascii="Verdana" w:hAnsi="Verdana" w:cs="Arial"/>
          <w:sz w:val="22"/>
          <w:szCs w:val="22"/>
        </w:rPr>
        <w:t>469</w:t>
      </w:r>
    </w:p>
    <w:p w14:paraId="670D8248" w14:textId="77777777" w:rsidR="003E1701" w:rsidRDefault="003E1701">
      <w:pPr>
        <w:rPr>
          <w:rFonts w:ascii="Verdana" w:hAnsi="Verdana" w:cs="Arial"/>
          <w:b/>
          <w:sz w:val="22"/>
          <w:szCs w:val="22"/>
        </w:rPr>
      </w:pPr>
    </w:p>
    <w:p w14:paraId="0C4BE112" w14:textId="77777777" w:rsidR="00E10790" w:rsidRDefault="00CE6CC1" w:rsidP="00B264FE">
      <w:pPr>
        <w:tabs>
          <w:tab w:val="left" w:pos="6663"/>
        </w:tabs>
        <w:rPr>
          <w:rFonts w:ascii="Verdana" w:hAnsi="Verdana" w:cs="Arial"/>
          <w:b/>
          <w:sz w:val="21"/>
          <w:szCs w:val="21"/>
        </w:rPr>
      </w:pPr>
      <w:bookmarkStart w:id="1" w:name="_Hlk2870956"/>
      <w:r w:rsidRPr="00CE6CC1">
        <w:rPr>
          <w:rFonts w:ascii="Verdana" w:hAnsi="Verdana" w:cs="Arial"/>
          <w:b/>
          <w:sz w:val="22"/>
          <w:szCs w:val="22"/>
        </w:rPr>
        <w:lastRenderedPageBreak/>
        <w:t>Pressebilder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bookmarkEnd w:id="1"/>
    <w:p w14:paraId="56062C01" w14:textId="77777777" w:rsidR="00E15216" w:rsidRDefault="00E15216">
      <w:pPr>
        <w:rPr>
          <w:rFonts w:ascii="Verdana" w:hAnsi="Verdana" w:cs="Arial"/>
          <w:b/>
          <w:sz w:val="21"/>
          <w:szCs w:val="21"/>
        </w:rPr>
      </w:pPr>
    </w:p>
    <w:p w14:paraId="45D3129B" w14:textId="0D1F88A0" w:rsidR="00E15216" w:rsidRDefault="0046553F">
      <w:pPr>
        <w:rPr>
          <w:rFonts w:ascii="Verdana" w:hAnsi="Verdana" w:cs="Arial"/>
          <w:b/>
          <w:sz w:val="21"/>
          <w:szCs w:val="21"/>
        </w:rPr>
      </w:pPr>
      <w:r w:rsidRPr="0046553F">
        <w:rPr>
          <w:rFonts w:ascii="Verdana" w:hAnsi="Verdana" w:cs="Arial"/>
          <w:b/>
          <w:noProof/>
          <w:sz w:val="21"/>
          <w:szCs w:val="21"/>
        </w:rPr>
        <w:drawing>
          <wp:inline distT="0" distB="0" distL="0" distR="0" wp14:anchorId="3F9C48B7" wp14:editId="278F71ED">
            <wp:extent cx="3062177" cy="4333202"/>
            <wp:effectExtent l="0" t="0" r="5080" b="0"/>
            <wp:docPr id="1" name="Grafik 1" descr="G:\A12_Brand_Management\98_tecalor\08_PR\2019\ISH\Pressemappe\Textabstimmungen\Lüftung\Bildmaterial\tco\PIC00007406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12_Brand_Management\98_tecalor\08_PR\2019\ISH\Pressemappe\Textabstimmungen\Lüftung\Bildmaterial\tco\PIC00007406-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69" cy="434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D2250" w14:textId="378FCA08" w:rsidR="0046553F" w:rsidRPr="00B264FE" w:rsidRDefault="0046553F" w:rsidP="0046553F">
      <w:pPr>
        <w:jc w:val="both"/>
        <w:rPr>
          <w:rFonts w:ascii="Verdana" w:hAnsi="Verdana" w:cs="Arial"/>
          <w:sz w:val="18"/>
          <w:szCs w:val="22"/>
        </w:rPr>
      </w:pPr>
      <w:proofErr w:type="spellStart"/>
      <w:r w:rsidRPr="00B264FE">
        <w:rPr>
          <w:rFonts w:ascii="Verdana" w:hAnsi="Verdana" w:cs="Arial"/>
          <w:sz w:val="18"/>
          <w:szCs w:val="22"/>
        </w:rPr>
        <w:t>Tecalor_Pressebild_TCO</w:t>
      </w:r>
      <w:proofErr w:type="spellEnd"/>
      <w:r w:rsidRPr="00B264FE">
        <w:rPr>
          <w:rFonts w:ascii="Verdana" w:hAnsi="Verdana" w:cs="Arial"/>
          <w:sz w:val="18"/>
          <w:szCs w:val="22"/>
        </w:rPr>
        <w:t xml:space="preserve"> 2.5.jpg</w:t>
      </w:r>
    </w:p>
    <w:p w14:paraId="22465592" w14:textId="77777777" w:rsidR="0046553F" w:rsidRDefault="0046553F" w:rsidP="00B264FE">
      <w:pPr>
        <w:tabs>
          <w:tab w:val="left" w:pos="6663"/>
        </w:tabs>
        <w:ind w:right="2268"/>
        <w:jc w:val="both"/>
        <w:rPr>
          <w:rFonts w:ascii="Verdana" w:hAnsi="Verdana" w:cs="Arial"/>
          <w:sz w:val="22"/>
          <w:szCs w:val="22"/>
        </w:rPr>
      </w:pPr>
    </w:p>
    <w:p w14:paraId="286DF1A4" w14:textId="27130102" w:rsidR="0046553F" w:rsidRDefault="0046553F" w:rsidP="00B264FE">
      <w:pPr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Das Lüftungsheizgerät TCO 2.5 ist die maßgeschneiderte Lösung für Gebäude mit niedrigem Heizenergiebedarf.</w:t>
      </w:r>
    </w:p>
    <w:p w14:paraId="3152753F" w14:textId="7F4D9282" w:rsidR="00396615" w:rsidRDefault="00396615">
      <w:pPr>
        <w:rPr>
          <w:rFonts w:ascii="Verdana" w:hAnsi="Verdana" w:cs="Arial"/>
          <w:sz w:val="22"/>
          <w:szCs w:val="22"/>
        </w:rPr>
      </w:pPr>
    </w:p>
    <w:p w14:paraId="5DFA8893" w14:textId="6F565946" w:rsidR="0046553F" w:rsidRDefault="0046553F">
      <w:pPr>
        <w:rPr>
          <w:rFonts w:ascii="Verdana" w:hAnsi="Verdana" w:cs="Arial"/>
          <w:sz w:val="22"/>
          <w:szCs w:val="22"/>
        </w:rPr>
      </w:pPr>
    </w:p>
    <w:p w14:paraId="5EABC585" w14:textId="451251E9" w:rsidR="0046553F" w:rsidRDefault="0046553F" w:rsidP="001A30EF">
      <w:pPr>
        <w:ind w:right="2268"/>
        <w:rPr>
          <w:rFonts w:ascii="Verdana" w:hAnsi="Verdana" w:cs="Arial"/>
          <w:sz w:val="22"/>
          <w:szCs w:val="22"/>
        </w:rPr>
      </w:pPr>
      <w:r w:rsidRPr="0046553F">
        <w:rPr>
          <w:rFonts w:ascii="Verdana" w:hAnsi="Verdana" w:cs="Arial"/>
          <w:noProof/>
          <w:sz w:val="22"/>
          <w:szCs w:val="22"/>
        </w:rPr>
        <w:lastRenderedPageBreak/>
        <w:drawing>
          <wp:inline distT="0" distB="0" distL="0" distR="0" wp14:anchorId="3A1132DF" wp14:editId="3ABAF484">
            <wp:extent cx="4210132" cy="2674961"/>
            <wp:effectExtent l="0" t="0" r="0" b="0"/>
            <wp:docPr id="2" name="Grafik 2" descr="G:\A12_Brand_Management\98_tecalor\08_PR\2019\ISH\Pressemappe\Textabstimmungen\Lüftung\Bildmaterial\tco\PIC00007439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12_Brand_Management\98_tecalor\08_PR\2019\ISH\Pressemappe\Textabstimmungen\Lüftung\Bildmaterial\tco\PIC00007439-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99" cy="271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D360D" w14:textId="2470A4E4" w:rsidR="0046553F" w:rsidRPr="00B264FE" w:rsidRDefault="0046553F">
      <w:pPr>
        <w:rPr>
          <w:rFonts w:ascii="Verdana" w:hAnsi="Verdana" w:cs="Arial"/>
          <w:sz w:val="18"/>
          <w:szCs w:val="22"/>
        </w:rPr>
      </w:pPr>
      <w:proofErr w:type="spellStart"/>
      <w:r w:rsidRPr="00B264FE">
        <w:rPr>
          <w:rFonts w:ascii="Verdana" w:hAnsi="Verdana" w:cs="Arial"/>
          <w:sz w:val="18"/>
          <w:szCs w:val="22"/>
        </w:rPr>
        <w:t>tecalor_Systemhaus_TCO</w:t>
      </w:r>
      <w:proofErr w:type="spellEnd"/>
      <w:r w:rsidRPr="00B264FE">
        <w:rPr>
          <w:rFonts w:ascii="Verdana" w:hAnsi="Verdana" w:cs="Arial"/>
          <w:sz w:val="18"/>
          <w:szCs w:val="22"/>
        </w:rPr>
        <w:t xml:space="preserve"> 2.5.jpg</w:t>
      </w:r>
    </w:p>
    <w:p w14:paraId="73FA2533" w14:textId="5E72156E" w:rsidR="0046553F" w:rsidRDefault="0046553F">
      <w:pPr>
        <w:rPr>
          <w:rFonts w:ascii="Verdana" w:hAnsi="Verdana" w:cs="Arial"/>
          <w:sz w:val="22"/>
          <w:szCs w:val="22"/>
        </w:rPr>
      </w:pPr>
    </w:p>
    <w:p w14:paraId="555B9E02" w14:textId="776B6FA7" w:rsidR="0046553F" w:rsidRDefault="00613CD4" w:rsidP="0046553F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Das Lüftungsheizgerät überzeugt in der Kalkulations- und Planungsphase genauso wie bei der Installation oder später- nach dem Einzug- beim Wohnen. </w:t>
      </w:r>
    </w:p>
    <w:p w14:paraId="59ACF932" w14:textId="3819F03A" w:rsidR="0046553F" w:rsidRDefault="0046553F">
      <w:pPr>
        <w:rPr>
          <w:rFonts w:ascii="Verdana" w:hAnsi="Verdana" w:cs="Arial"/>
          <w:sz w:val="22"/>
          <w:szCs w:val="22"/>
        </w:rPr>
      </w:pPr>
    </w:p>
    <w:p w14:paraId="4368AC7B" w14:textId="0400E768" w:rsidR="001C51A4" w:rsidRDefault="00396615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Bilder: </w:t>
      </w:r>
      <w:proofErr w:type="spellStart"/>
      <w:r w:rsidR="0046553F">
        <w:rPr>
          <w:rFonts w:ascii="Verdana" w:hAnsi="Verdana" w:cs="Arial"/>
          <w:sz w:val="22"/>
          <w:szCs w:val="22"/>
        </w:rPr>
        <w:t>t</w:t>
      </w:r>
      <w:r>
        <w:rPr>
          <w:rFonts w:ascii="Verdana" w:hAnsi="Verdana" w:cs="Arial"/>
          <w:sz w:val="22"/>
          <w:szCs w:val="22"/>
        </w:rPr>
        <w:t>ecalor</w:t>
      </w:r>
      <w:proofErr w:type="spellEnd"/>
    </w:p>
    <w:p w14:paraId="21ADC62C" w14:textId="77777777" w:rsidR="001C51A4" w:rsidRDefault="001C51A4" w:rsidP="001C51A4">
      <w:pPr>
        <w:rPr>
          <w:rFonts w:ascii="Verdana" w:hAnsi="Verdana" w:cs="Arial"/>
          <w:sz w:val="22"/>
          <w:szCs w:val="22"/>
        </w:rPr>
      </w:pPr>
      <w:bookmarkStart w:id="2" w:name="_Hlk2873181"/>
    </w:p>
    <w:p w14:paraId="4961E1AE" w14:textId="6F4F2939"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14:paraId="68CA342F" w14:textId="77777777" w:rsidR="0046553F" w:rsidRPr="0046553F" w:rsidRDefault="0046553F" w:rsidP="0046553F">
      <w:pPr>
        <w:pStyle w:val="Textkrper"/>
        <w:ind w:right="2268"/>
        <w:rPr>
          <w:rFonts w:ascii="Verdana" w:hAnsi="Verdana" w:cs="Arial"/>
          <w:sz w:val="21"/>
          <w:szCs w:val="21"/>
        </w:rPr>
      </w:pPr>
      <w:proofErr w:type="spellStart"/>
      <w:r w:rsidRPr="0046553F">
        <w:rPr>
          <w:rFonts w:ascii="Verdana" w:hAnsi="Verdana" w:cs="Arial"/>
          <w:sz w:val="21"/>
          <w:szCs w:val="21"/>
        </w:rPr>
        <w:t>tecalor</w:t>
      </w:r>
      <w:proofErr w:type="spellEnd"/>
      <w:r w:rsidRPr="0046553F">
        <w:rPr>
          <w:rFonts w:ascii="Verdana" w:hAnsi="Verdana" w:cs="Arial"/>
          <w:sz w:val="21"/>
          <w:szCs w:val="21"/>
        </w:rPr>
        <w:t xml:space="preserve"> GmbH</w:t>
      </w:r>
    </w:p>
    <w:p w14:paraId="3040CCBC" w14:textId="77777777" w:rsidR="0046553F" w:rsidRPr="00FC6193" w:rsidRDefault="0046553F" w:rsidP="0046553F">
      <w:pPr>
        <w:pStyle w:val="Liste"/>
        <w:ind w:right="2268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14:paraId="40FB2416" w14:textId="77777777" w:rsidR="0046553F" w:rsidRPr="00FC6193" w:rsidRDefault="0046553F" w:rsidP="0046553F">
      <w:pPr>
        <w:ind w:right="226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</w:r>
      <w:r w:rsidRPr="00035ED5">
        <w:rPr>
          <w:rFonts w:ascii="Verdana" w:hAnsi="Verdana" w:cs="Arial"/>
          <w:sz w:val="21"/>
          <w:szCs w:val="21"/>
        </w:rPr>
        <w:t>www.tecalor.de</w:t>
      </w:r>
      <w:r>
        <w:rPr>
          <w:rFonts w:ascii="Verdana" w:hAnsi="Verdana" w:cs="Arial"/>
          <w:sz w:val="21"/>
          <w:szCs w:val="21"/>
        </w:rPr>
        <w:t xml:space="preserve"> </w:t>
      </w:r>
    </w:p>
    <w:p w14:paraId="7DA42705" w14:textId="0FE8F47D" w:rsidR="0046553F" w:rsidRPr="00FC6193" w:rsidRDefault="0046553F" w:rsidP="0046553F">
      <w:pPr>
        <w:tabs>
          <w:tab w:val="left" w:pos="1418"/>
        </w:tabs>
        <w:ind w:right="2268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Telefon: </w:t>
      </w:r>
      <w:r>
        <w:rPr>
          <w:rFonts w:ascii="Verdana" w:hAnsi="Verdana" w:cs="Arial"/>
          <w:sz w:val="21"/>
          <w:szCs w:val="21"/>
        </w:rPr>
        <w:tab/>
        <w:t xml:space="preserve">+49 </w:t>
      </w:r>
      <w:r w:rsidRPr="00FC6193">
        <w:rPr>
          <w:rFonts w:ascii="Verdana" w:hAnsi="Verdana" w:cs="Arial"/>
          <w:sz w:val="21"/>
          <w:szCs w:val="21"/>
        </w:rPr>
        <w:t>5531 9906</w:t>
      </w:r>
      <w:r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14:paraId="1D79F284" w14:textId="77777777" w:rsidR="0046553F" w:rsidRPr="00FC6193" w:rsidRDefault="0046553F" w:rsidP="0046553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14:paraId="6A5963A1" w14:textId="77777777" w:rsidR="0046553F" w:rsidRDefault="0046553F" w:rsidP="0046553F">
      <w:pPr>
        <w:pStyle w:val="Textkrper"/>
        <w:ind w:right="2268"/>
        <w:rPr>
          <w:rFonts w:ascii="Verdana" w:hAnsi="Verdana" w:cs="Arial"/>
          <w:b/>
          <w:sz w:val="21"/>
          <w:szCs w:val="21"/>
        </w:rPr>
      </w:pPr>
      <w:r w:rsidRPr="00FC6193">
        <w:rPr>
          <w:rFonts w:ascii="Verdana" w:hAnsi="Verdana" w:cs="Arial"/>
          <w:b/>
          <w:sz w:val="21"/>
          <w:szCs w:val="21"/>
        </w:rPr>
        <w:t>Pressekontakt:</w:t>
      </w:r>
      <w:r w:rsidRPr="00FC6193">
        <w:rPr>
          <w:rFonts w:ascii="Verdana" w:hAnsi="Verdana" w:cs="Arial"/>
          <w:b/>
          <w:sz w:val="21"/>
          <w:szCs w:val="21"/>
        </w:rPr>
        <w:tab/>
      </w:r>
    </w:p>
    <w:p w14:paraId="025001BE" w14:textId="77777777" w:rsidR="0046553F" w:rsidRPr="0031761E" w:rsidRDefault="0046553F" w:rsidP="0046553F">
      <w:pPr>
        <w:pStyle w:val="Textkrper"/>
        <w:ind w:right="2268"/>
        <w:rPr>
          <w:rFonts w:ascii="Verdana" w:hAnsi="Verdana" w:cs="Arial"/>
          <w:sz w:val="21"/>
          <w:szCs w:val="21"/>
        </w:rPr>
      </w:pPr>
      <w:r w:rsidRPr="0031761E">
        <w:rPr>
          <w:rFonts w:ascii="Verdana" w:hAnsi="Verdana" w:cs="Arial"/>
          <w:sz w:val="21"/>
          <w:szCs w:val="21"/>
        </w:rPr>
        <w:t>Lena Schwekendiek</w:t>
      </w:r>
    </w:p>
    <w:p w14:paraId="525F78DD" w14:textId="77777777" w:rsidR="0046553F" w:rsidRDefault="0046553F" w:rsidP="0046553F">
      <w:pPr>
        <w:tabs>
          <w:tab w:val="left" w:pos="1418"/>
        </w:tabs>
        <w:ind w:left="2127" w:right="2126" w:hanging="2127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E-Mail: </w:t>
      </w:r>
      <w:r>
        <w:rPr>
          <w:rFonts w:ascii="Verdana" w:hAnsi="Verdana" w:cs="Arial"/>
          <w:sz w:val="21"/>
          <w:szCs w:val="21"/>
        </w:rPr>
        <w:tab/>
      </w:r>
      <w:r w:rsidRPr="00035ED5">
        <w:rPr>
          <w:rFonts w:ascii="Verdana" w:hAnsi="Verdana" w:cs="Arial"/>
          <w:sz w:val="21"/>
          <w:szCs w:val="21"/>
        </w:rPr>
        <w:t>Lena.Schwekendiek@tecalor.de</w:t>
      </w:r>
    </w:p>
    <w:p w14:paraId="33ACA1E3" w14:textId="77777777" w:rsidR="0046553F" w:rsidRPr="00FC6193" w:rsidRDefault="0046553F" w:rsidP="0046553F">
      <w:pPr>
        <w:tabs>
          <w:tab w:val="left" w:pos="1418"/>
        </w:tabs>
        <w:ind w:left="2127" w:right="2126" w:hanging="2127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+49 5531 702 958 30</w:t>
      </w:r>
    </w:p>
    <w:bookmarkEnd w:id="2"/>
    <w:p w14:paraId="472F5BFE" w14:textId="77777777" w:rsidR="004C231C" w:rsidRPr="00FC6193" w:rsidRDefault="004C231C" w:rsidP="004C231C">
      <w:pPr>
        <w:ind w:right="2268"/>
        <w:rPr>
          <w:rFonts w:ascii="Verdana" w:hAnsi="Verdana"/>
        </w:rPr>
      </w:pPr>
    </w:p>
    <w:p w14:paraId="7EE8F9B5" w14:textId="77777777" w:rsidR="004C231C" w:rsidRPr="00FC6193" w:rsidRDefault="004C231C" w:rsidP="00F2705A">
      <w:pPr>
        <w:rPr>
          <w:rFonts w:ascii="Verdana" w:hAnsi="Verdana"/>
        </w:rPr>
      </w:pPr>
    </w:p>
    <w:p w14:paraId="4AC09E2C" w14:textId="77777777" w:rsidR="00135DBF" w:rsidRPr="00FC6193" w:rsidRDefault="00135DBF" w:rsidP="00F2705A">
      <w:pPr>
        <w:rPr>
          <w:rFonts w:ascii="Verdana" w:hAnsi="Verdana"/>
        </w:rPr>
      </w:pPr>
    </w:p>
    <w:sectPr w:rsidR="00135DBF" w:rsidRPr="00FC6193" w:rsidSect="004C231C">
      <w:headerReference w:type="default" r:id="rId9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6F62C" w14:textId="77777777" w:rsidR="00C62DA7" w:rsidRDefault="00C62DA7" w:rsidP="004C231C">
      <w:r>
        <w:separator/>
      </w:r>
    </w:p>
  </w:endnote>
  <w:endnote w:type="continuationSeparator" w:id="0">
    <w:p w14:paraId="7D363CD7" w14:textId="77777777" w:rsidR="00C62DA7" w:rsidRDefault="00C62DA7" w:rsidP="004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C11EC" w14:textId="77777777" w:rsidR="00C62DA7" w:rsidRDefault="00C62DA7" w:rsidP="004C231C">
      <w:r>
        <w:separator/>
      </w:r>
    </w:p>
  </w:footnote>
  <w:footnote w:type="continuationSeparator" w:id="0">
    <w:p w14:paraId="50D4A439" w14:textId="77777777" w:rsidR="00C62DA7" w:rsidRDefault="00C62DA7" w:rsidP="004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176B" w14:textId="77777777"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 wp14:anchorId="00A4D331" wp14:editId="4E46B10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4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E8"/>
    <w:rsid w:val="0000564A"/>
    <w:rsid w:val="000062FD"/>
    <w:rsid w:val="00030376"/>
    <w:rsid w:val="00032408"/>
    <w:rsid w:val="00040C77"/>
    <w:rsid w:val="0005519A"/>
    <w:rsid w:val="00066BBC"/>
    <w:rsid w:val="000A16B2"/>
    <w:rsid w:val="000A6B09"/>
    <w:rsid w:val="000C4B30"/>
    <w:rsid w:val="001064B3"/>
    <w:rsid w:val="00112A2D"/>
    <w:rsid w:val="00116541"/>
    <w:rsid w:val="00121BF6"/>
    <w:rsid w:val="00135DBF"/>
    <w:rsid w:val="00184026"/>
    <w:rsid w:val="00186C65"/>
    <w:rsid w:val="001A1B4E"/>
    <w:rsid w:val="001A30EF"/>
    <w:rsid w:val="001A631E"/>
    <w:rsid w:val="001B3D79"/>
    <w:rsid w:val="001C51A4"/>
    <w:rsid w:val="001D1E8E"/>
    <w:rsid w:val="001D3FEB"/>
    <w:rsid w:val="001D53FA"/>
    <w:rsid w:val="001E49D0"/>
    <w:rsid w:val="001E5BF5"/>
    <w:rsid w:val="001E7686"/>
    <w:rsid w:val="001F5377"/>
    <w:rsid w:val="001F6499"/>
    <w:rsid w:val="00201DA5"/>
    <w:rsid w:val="00217942"/>
    <w:rsid w:val="0022099E"/>
    <w:rsid w:val="00272E7B"/>
    <w:rsid w:val="0031761E"/>
    <w:rsid w:val="00326F6E"/>
    <w:rsid w:val="003605DF"/>
    <w:rsid w:val="00365A17"/>
    <w:rsid w:val="00373F31"/>
    <w:rsid w:val="00382794"/>
    <w:rsid w:val="0039606B"/>
    <w:rsid w:val="00396615"/>
    <w:rsid w:val="003A0298"/>
    <w:rsid w:val="003B2E8F"/>
    <w:rsid w:val="003E1701"/>
    <w:rsid w:val="003F5EBB"/>
    <w:rsid w:val="00401981"/>
    <w:rsid w:val="00414059"/>
    <w:rsid w:val="00425A8C"/>
    <w:rsid w:val="00445925"/>
    <w:rsid w:val="00463158"/>
    <w:rsid w:val="0046553F"/>
    <w:rsid w:val="0047247F"/>
    <w:rsid w:val="0049261C"/>
    <w:rsid w:val="004B63A0"/>
    <w:rsid w:val="004C231C"/>
    <w:rsid w:val="004C7B8E"/>
    <w:rsid w:val="004D57FE"/>
    <w:rsid w:val="004F782A"/>
    <w:rsid w:val="005221FF"/>
    <w:rsid w:val="00544A56"/>
    <w:rsid w:val="005545C4"/>
    <w:rsid w:val="005700EF"/>
    <w:rsid w:val="005A077B"/>
    <w:rsid w:val="005A2B3F"/>
    <w:rsid w:val="005C212A"/>
    <w:rsid w:val="005C28FF"/>
    <w:rsid w:val="005C4A2B"/>
    <w:rsid w:val="005C7A52"/>
    <w:rsid w:val="005D54D8"/>
    <w:rsid w:val="005E2907"/>
    <w:rsid w:val="005E3AC6"/>
    <w:rsid w:val="0060599B"/>
    <w:rsid w:val="00611AE4"/>
    <w:rsid w:val="00613CD4"/>
    <w:rsid w:val="006178B9"/>
    <w:rsid w:val="00625BB2"/>
    <w:rsid w:val="00637A92"/>
    <w:rsid w:val="00644A2E"/>
    <w:rsid w:val="006475B3"/>
    <w:rsid w:val="00664B27"/>
    <w:rsid w:val="00665169"/>
    <w:rsid w:val="00693834"/>
    <w:rsid w:val="006A00C0"/>
    <w:rsid w:val="006A106F"/>
    <w:rsid w:val="006B14E2"/>
    <w:rsid w:val="006E34D5"/>
    <w:rsid w:val="006F2C04"/>
    <w:rsid w:val="00701BAA"/>
    <w:rsid w:val="0071173C"/>
    <w:rsid w:val="00715C25"/>
    <w:rsid w:val="007161C0"/>
    <w:rsid w:val="00722573"/>
    <w:rsid w:val="00731B4D"/>
    <w:rsid w:val="007605B9"/>
    <w:rsid w:val="00760911"/>
    <w:rsid w:val="00763387"/>
    <w:rsid w:val="00763EDB"/>
    <w:rsid w:val="007844EF"/>
    <w:rsid w:val="007941CD"/>
    <w:rsid w:val="007A08B9"/>
    <w:rsid w:val="007E0B15"/>
    <w:rsid w:val="007F3AE4"/>
    <w:rsid w:val="007F5D52"/>
    <w:rsid w:val="008012FE"/>
    <w:rsid w:val="00820735"/>
    <w:rsid w:val="008224E1"/>
    <w:rsid w:val="00833415"/>
    <w:rsid w:val="0086304B"/>
    <w:rsid w:val="008778F9"/>
    <w:rsid w:val="008A6EB9"/>
    <w:rsid w:val="008B5F42"/>
    <w:rsid w:val="008D3D7F"/>
    <w:rsid w:val="008F7420"/>
    <w:rsid w:val="00900C51"/>
    <w:rsid w:val="00912BA0"/>
    <w:rsid w:val="009539FD"/>
    <w:rsid w:val="00960FF2"/>
    <w:rsid w:val="00977034"/>
    <w:rsid w:val="009B3DA1"/>
    <w:rsid w:val="009C7D35"/>
    <w:rsid w:val="009E4184"/>
    <w:rsid w:val="009F15A7"/>
    <w:rsid w:val="009F5520"/>
    <w:rsid w:val="00A05B16"/>
    <w:rsid w:val="00A14502"/>
    <w:rsid w:val="00A157C9"/>
    <w:rsid w:val="00A26A8B"/>
    <w:rsid w:val="00A84D9C"/>
    <w:rsid w:val="00A9110A"/>
    <w:rsid w:val="00AB66D5"/>
    <w:rsid w:val="00B001B6"/>
    <w:rsid w:val="00B07849"/>
    <w:rsid w:val="00B23A48"/>
    <w:rsid w:val="00B264FE"/>
    <w:rsid w:val="00B34CB7"/>
    <w:rsid w:val="00B424DC"/>
    <w:rsid w:val="00B47190"/>
    <w:rsid w:val="00B53DE8"/>
    <w:rsid w:val="00B53E54"/>
    <w:rsid w:val="00B723B1"/>
    <w:rsid w:val="00B76308"/>
    <w:rsid w:val="00BA29FA"/>
    <w:rsid w:val="00BA5C01"/>
    <w:rsid w:val="00BB4DB4"/>
    <w:rsid w:val="00BD2846"/>
    <w:rsid w:val="00BE02E3"/>
    <w:rsid w:val="00BE2CF4"/>
    <w:rsid w:val="00C25793"/>
    <w:rsid w:val="00C360FE"/>
    <w:rsid w:val="00C56D48"/>
    <w:rsid w:val="00C60678"/>
    <w:rsid w:val="00C62DA7"/>
    <w:rsid w:val="00C75ADD"/>
    <w:rsid w:val="00C803B6"/>
    <w:rsid w:val="00C93509"/>
    <w:rsid w:val="00C93B4D"/>
    <w:rsid w:val="00C962AF"/>
    <w:rsid w:val="00CB7254"/>
    <w:rsid w:val="00CE6CC1"/>
    <w:rsid w:val="00D077D6"/>
    <w:rsid w:val="00D20EF8"/>
    <w:rsid w:val="00D24145"/>
    <w:rsid w:val="00D52B14"/>
    <w:rsid w:val="00D62AE5"/>
    <w:rsid w:val="00D678FD"/>
    <w:rsid w:val="00D719E9"/>
    <w:rsid w:val="00D71E86"/>
    <w:rsid w:val="00D80023"/>
    <w:rsid w:val="00DD36C1"/>
    <w:rsid w:val="00E00293"/>
    <w:rsid w:val="00E023B3"/>
    <w:rsid w:val="00E03D27"/>
    <w:rsid w:val="00E10790"/>
    <w:rsid w:val="00E15216"/>
    <w:rsid w:val="00E16AB3"/>
    <w:rsid w:val="00E711A2"/>
    <w:rsid w:val="00EB1756"/>
    <w:rsid w:val="00EE11CC"/>
    <w:rsid w:val="00F0065F"/>
    <w:rsid w:val="00F06F92"/>
    <w:rsid w:val="00F138B2"/>
    <w:rsid w:val="00F2705A"/>
    <w:rsid w:val="00F3307A"/>
    <w:rsid w:val="00F35468"/>
    <w:rsid w:val="00F61E4C"/>
    <w:rsid w:val="00F7440E"/>
    <w:rsid w:val="00FB1F6F"/>
    <w:rsid w:val="00FB68D9"/>
    <w:rsid w:val="00FC6193"/>
    <w:rsid w:val="00FD227C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0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opy915pt">
    <w:name w:val="Copy_9/15pt"/>
    <w:basedOn w:val="Standard"/>
    <w:uiPriority w:val="99"/>
    <w:rsid w:val="00613CD4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HelveticaNeueLT Com 45 Lt" w:eastAsia="Calibri" w:hAnsi="HelveticaNeueLT Com 45 Lt" w:cs="HelveticaNeueLT Com 45 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3248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2019-03-06T09:48:00Z</dcterms:created>
  <dcterms:modified xsi:type="dcterms:W3CDTF">2019-03-08T09:55:00Z</dcterms:modified>
</cp:coreProperties>
</file>