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AB3AB3">
        <w:rPr>
          <w:rFonts w:ascii="Verdana" w:hAnsi="Verdana"/>
          <w:sz w:val="22"/>
        </w:rPr>
        <w:t>1</w:t>
      </w:r>
      <w:r w:rsidR="0062350B">
        <w:rPr>
          <w:rFonts w:ascii="Verdana" w:hAnsi="Verdana"/>
          <w:sz w:val="22"/>
        </w:rPr>
        <w:t>1</w:t>
      </w:r>
      <w:r w:rsidR="002A45C4">
        <w:rPr>
          <w:rFonts w:ascii="Verdana" w:hAnsi="Verdana"/>
          <w:sz w:val="22"/>
        </w:rPr>
        <w:t>/202</w:t>
      </w:r>
      <w:r w:rsidR="00586DD1">
        <w:rPr>
          <w:rFonts w:ascii="Verdana" w:hAnsi="Verdana"/>
          <w:sz w:val="22"/>
        </w:rPr>
        <w:t>1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31761E" w:rsidRPr="00372E52" w:rsidRDefault="00404E6D" w:rsidP="003E1E00">
      <w:pPr>
        <w:ind w:right="2126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 xml:space="preserve">Schnell sein! </w:t>
      </w:r>
      <w:r w:rsidR="003E1E00">
        <w:rPr>
          <w:rFonts w:ascii="Verdana" w:hAnsi="Verdana"/>
          <w:b/>
          <w:bCs/>
          <w:sz w:val="26"/>
        </w:rPr>
        <w:t>80</w:t>
      </w:r>
      <w:r w:rsidR="00314FA6">
        <w:rPr>
          <w:rFonts w:ascii="Verdana" w:hAnsi="Verdana"/>
          <w:b/>
          <w:bCs/>
          <w:sz w:val="26"/>
        </w:rPr>
        <w:t>-</w:t>
      </w:r>
      <w:r w:rsidR="003E1E00">
        <w:rPr>
          <w:rFonts w:ascii="Verdana" w:hAnsi="Verdana"/>
          <w:b/>
          <w:bCs/>
          <w:sz w:val="26"/>
        </w:rPr>
        <w:t>%</w:t>
      </w:r>
      <w:r w:rsidR="00314FA6">
        <w:rPr>
          <w:rFonts w:ascii="Verdana" w:hAnsi="Verdana"/>
          <w:b/>
          <w:bCs/>
          <w:sz w:val="26"/>
        </w:rPr>
        <w:t>-</w:t>
      </w:r>
      <w:r w:rsidR="00142331">
        <w:rPr>
          <w:rFonts w:ascii="Verdana" w:hAnsi="Verdana"/>
          <w:b/>
          <w:bCs/>
          <w:sz w:val="26"/>
        </w:rPr>
        <w:t>Lüftungs-F</w:t>
      </w:r>
      <w:r w:rsidR="00590693">
        <w:rPr>
          <w:rFonts w:ascii="Verdana" w:hAnsi="Verdana"/>
          <w:b/>
          <w:bCs/>
          <w:sz w:val="26"/>
        </w:rPr>
        <w:t xml:space="preserve">örderung für </w:t>
      </w:r>
      <w:r w:rsidR="00ED3D84">
        <w:rPr>
          <w:rFonts w:ascii="Verdana" w:hAnsi="Verdana"/>
          <w:b/>
          <w:bCs/>
          <w:sz w:val="26"/>
        </w:rPr>
        <w:t>Schule</w:t>
      </w:r>
      <w:r w:rsidR="00590693">
        <w:rPr>
          <w:rFonts w:ascii="Verdana" w:hAnsi="Verdana"/>
          <w:b/>
          <w:bCs/>
          <w:sz w:val="26"/>
        </w:rPr>
        <w:t>n</w:t>
      </w:r>
      <w:r w:rsidR="00ED3D84">
        <w:rPr>
          <w:rFonts w:ascii="Verdana" w:hAnsi="Verdana"/>
          <w:b/>
          <w:bCs/>
          <w:sz w:val="26"/>
        </w:rPr>
        <w:t xml:space="preserve"> und Kita</w:t>
      </w:r>
      <w:r w:rsidR="00590693">
        <w:rPr>
          <w:rFonts w:ascii="Verdana" w:hAnsi="Verdana"/>
          <w:b/>
          <w:bCs/>
          <w:sz w:val="26"/>
        </w:rPr>
        <w:t>s</w:t>
      </w:r>
      <w:r>
        <w:rPr>
          <w:rFonts w:ascii="Verdana" w:hAnsi="Verdana"/>
          <w:b/>
          <w:bCs/>
          <w:sz w:val="26"/>
        </w:rPr>
        <w:t xml:space="preserve"> endet im Dezember</w:t>
      </w:r>
    </w:p>
    <w:p w:rsidR="004C231C" w:rsidRPr="00FC6193" w:rsidRDefault="004C231C" w:rsidP="004C231C">
      <w:pPr>
        <w:rPr>
          <w:rStyle w:val="Fett"/>
        </w:rPr>
      </w:pPr>
    </w:p>
    <w:p w:rsidR="00B078EB" w:rsidRPr="00B078EB" w:rsidRDefault="00ED3D84" w:rsidP="00D5440C">
      <w:pPr>
        <w:ind w:right="2268"/>
        <w:rPr>
          <w:rStyle w:val="Fett"/>
          <w:rFonts w:cs="Arial"/>
          <w:b w:val="0"/>
          <w:bCs w:val="0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Der Bund fördert </w:t>
      </w:r>
      <w:r w:rsidR="00142331">
        <w:rPr>
          <w:rStyle w:val="Fett"/>
          <w:rFonts w:ascii="Verdana" w:hAnsi="Verdana" w:cs="Arial"/>
          <w:sz w:val="22"/>
          <w:szCs w:val="22"/>
        </w:rPr>
        <w:t>Neuinstallation</w:t>
      </w:r>
      <w:r>
        <w:rPr>
          <w:rStyle w:val="Fett"/>
          <w:rFonts w:ascii="Verdana" w:hAnsi="Verdana" w:cs="Arial"/>
          <w:sz w:val="22"/>
          <w:szCs w:val="22"/>
        </w:rPr>
        <w:t xml:space="preserve"> von Lüftungsanlagen mit </w:t>
      </w:r>
      <w:r w:rsidR="003402E3">
        <w:rPr>
          <w:rStyle w:val="Fett"/>
          <w:rFonts w:ascii="Verdana" w:hAnsi="Verdana" w:cs="Arial"/>
          <w:sz w:val="22"/>
          <w:szCs w:val="22"/>
        </w:rPr>
        <w:t xml:space="preserve">bis zu </w:t>
      </w:r>
      <w:r w:rsidR="008B0ED2">
        <w:rPr>
          <w:rStyle w:val="Fett"/>
          <w:rFonts w:ascii="Verdana" w:hAnsi="Verdana" w:cs="Arial"/>
          <w:sz w:val="22"/>
          <w:szCs w:val="22"/>
        </w:rPr>
        <w:t>80</w:t>
      </w:r>
      <w:r>
        <w:rPr>
          <w:rStyle w:val="Fett"/>
          <w:rFonts w:ascii="Verdana" w:hAnsi="Verdana" w:cs="Arial"/>
          <w:sz w:val="22"/>
          <w:szCs w:val="22"/>
        </w:rPr>
        <w:t xml:space="preserve"> Prozent</w:t>
      </w:r>
      <w:r w:rsidR="009D25D0">
        <w:rPr>
          <w:rStyle w:val="Fett"/>
          <w:rFonts w:ascii="Verdana" w:hAnsi="Verdana" w:cs="Arial"/>
          <w:sz w:val="22"/>
          <w:szCs w:val="22"/>
        </w:rPr>
        <w:t xml:space="preserve"> der Gesamtkosten für Planung, Kauf und Installation</w:t>
      </w:r>
      <w:r w:rsidR="00404E6D">
        <w:rPr>
          <w:rStyle w:val="Fett"/>
          <w:rFonts w:ascii="Verdana" w:hAnsi="Verdana" w:cs="Arial"/>
          <w:sz w:val="22"/>
          <w:szCs w:val="22"/>
        </w:rPr>
        <w:t xml:space="preserve"> – allerdings müssen die Anträge bis Jahresende gestellt sein</w:t>
      </w:r>
      <w:r w:rsidR="00CE747F">
        <w:rPr>
          <w:rStyle w:val="Fett"/>
          <w:rFonts w:ascii="Verdana" w:hAnsi="Verdana" w:cs="Arial"/>
          <w:sz w:val="22"/>
          <w:szCs w:val="22"/>
        </w:rPr>
        <w:t>.</w:t>
      </w:r>
    </w:p>
    <w:p w:rsidR="000C49C4" w:rsidRDefault="000C49C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8B0ED2" w:rsidRDefault="008B0ED2" w:rsidP="008B0ED2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„</w:t>
      </w:r>
      <w:r w:rsidR="00404E6D">
        <w:rPr>
          <w:rFonts w:ascii="Verdana" w:hAnsi="Verdana" w:cs="Arial"/>
          <w:sz w:val="22"/>
          <w:szCs w:val="22"/>
        </w:rPr>
        <w:t>J</w:t>
      </w:r>
      <w:r>
        <w:rPr>
          <w:rFonts w:ascii="Verdana" w:hAnsi="Verdana" w:cs="Arial"/>
          <w:sz w:val="22"/>
          <w:szCs w:val="22"/>
        </w:rPr>
        <w:t xml:space="preserve">etzt </w:t>
      </w:r>
      <w:r w:rsidR="00404E6D">
        <w:rPr>
          <w:rFonts w:ascii="Verdana" w:hAnsi="Verdana" w:cs="Arial"/>
          <w:sz w:val="22"/>
          <w:szCs w:val="22"/>
        </w:rPr>
        <w:t xml:space="preserve">müssen </w:t>
      </w:r>
      <w:r w:rsidR="009D25D0">
        <w:rPr>
          <w:rFonts w:ascii="Verdana" w:hAnsi="Verdana" w:cs="Arial"/>
          <w:sz w:val="22"/>
          <w:szCs w:val="22"/>
        </w:rPr>
        <w:t xml:space="preserve">für die Schulen und Kitas </w:t>
      </w:r>
      <w:r w:rsidR="00404E6D">
        <w:rPr>
          <w:rFonts w:ascii="Verdana" w:hAnsi="Verdana" w:cs="Arial"/>
          <w:sz w:val="22"/>
          <w:szCs w:val="22"/>
        </w:rPr>
        <w:t xml:space="preserve">noch schnell </w:t>
      </w:r>
      <w:r>
        <w:rPr>
          <w:rFonts w:ascii="Verdana" w:hAnsi="Verdana" w:cs="Arial"/>
          <w:sz w:val="22"/>
          <w:szCs w:val="22"/>
        </w:rPr>
        <w:t xml:space="preserve">Lüftungsanlagen mit Wärmerückgewinnung geplant und installiert werden, </w:t>
      </w:r>
      <w:r w:rsidR="00314FA6">
        <w:rPr>
          <w:rFonts w:ascii="Verdana" w:hAnsi="Verdana" w:cs="Arial"/>
          <w:sz w:val="22"/>
          <w:szCs w:val="22"/>
        </w:rPr>
        <w:t>um</w:t>
      </w:r>
      <w:r>
        <w:rPr>
          <w:rFonts w:ascii="Verdana" w:hAnsi="Verdana" w:cs="Arial"/>
          <w:sz w:val="22"/>
          <w:szCs w:val="22"/>
        </w:rPr>
        <w:t xml:space="preserve"> einen kontinuierlichen Luftaustausch auch bei geschlossenem Fenster und frostigen Außentemperaturen </w:t>
      </w:r>
      <w:r w:rsidR="00314FA6">
        <w:rPr>
          <w:rFonts w:ascii="Verdana" w:hAnsi="Verdana" w:cs="Arial"/>
          <w:sz w:val="22"/>
          <w:szCs w:val="22"/>
        </w:rPr>
        <w:t xml:space="preserve">zu </w:t>
      </w:r>
      <w:r>
        <w:rPr>
          <w:rFonts w:ascii="Verdana" w:hAnsi="Verdana" w:cs="Arial"/>
          <w:sz w:val="22"/>
          <w:szCs w:val="22"/>
        </w:rPr>
        <w:t>gewährleisten“</w:t>
      </w:r>
      <w:r w:rsidR="00404E6D">
        <w:rPr>
          <w:rFonts w:ascii="Verdana" w:hAnsi="Verdana" w:cs="Arial"/>
          <w:sz w:val="22"/>
          <w:szCs w:val="22"/>
        </w:rPr>
        <w:t xml:space="preserve">, betont </w:t>
      </w:r>
      <w:r w:rsidR="00404E6D" w:rsidRPr="00A34BD2">
        <w:rPr>
          <w:rFonts w:ascii="Verdana" w:hAnsi="Verdana" w:cs="Arial"/>
          <w:sz w:val="22"/>
          <w:szCs w:val="22"/>
        </w:rPr>
        <w:t>Burkhard Max</w:t>
      </w:r>
      <w:r w:rsidR="00404E6D">
        <w:rPr>
          <w:rFonts w:ascii="Verdana" w:hAnsi="Verdana" w:cs="Arial"/>
          <w:sz w:val="22"/>
          <w:szCs w:val="22"/>
        </w:rPr>
        <w:t xml:space="preserve">, Geschäftsführer von </w:t>
      </w:r>
      <w:proofErr w:type="spellStart"/>
      <w:r w:rsidR="00404E6D">
        <w:rPr>
          <w:rFonts w:ascii="Verdana" w:hAnsi="Verdana" w:cs="Arial"/>
          <w:sz w:val="22"/>
          <w:szCs w:val="22"/>
        </w:rPr>
        <w:t>tecalor</w:t>
      </w:r>
      <w:proofErr w:type="spellEnd"/>
      <w:r w:rsidR="00404E6D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  <w:r w:rsidR="00404E6D">
        <w:rPr>
          <w:rFonts w:ascii="Verdana" w:hAnsi="Verdana" w:cs="Arial"/>
          <w:sz w:val="22"/>
          <w:szCs w:val="22"/>
        </w:rPr>
        <w:t xml:space="preserve">Denn </w:t>
      </w:r>
      <w:r w:rsidR="00DF0381">
        <w:rPr>
          <w:rFonts w:ascii="Verdana" w:hAnsi="Verdana" w:cs="Arial"/>
          <w:sz w:val="22"/>
          <w:szCs w:val="22"/>
        </w:rPr>
        <w:t xml:space="preserve">erst </w:t>
      </w:r>
      <w:r w:rsidR="00404E6D">
        <w:rPr>
          <w:rFonts w:ascii="Verdana" w:hAnsi="Verdana" w:cs="Arial"/>
          <w:sz w:val="22"/>
          <w:szCs w:val="22"/>
        </w:rPr>
        <w:t>seit</w:t>
      </w:r>
      <w:r>
        <w:rPr>
          <w:rFonts w:ascii="Verdana" w:hAnsi="Verdana" w:cs="Arial"/>
          <w:sz w:val="22"/>
          <w:szCs w:val="22"/>
        </w:rPr>
        <w:t xml:space="preserve"> Juni </w:t>
      </w:r>
      <w:r w:rsidR="00404E6D">
        <w:rPr>
          <w:rFonts w:ascii="Verdana" w:hAnsi="Verdana" w:cs="Arial"/>
          <w:sz w:val="22"/>
          <w:szCs w:val="22"/>
        </w:rPr>
        <w:t xml:space="preserve">gibt es </w:t>
      </w:r>
      <w:r>
        <w:rPr>
          <w:rFonts w:ascii="Verdana" w:hAnsi="Verdana" w:cs="Arial"/>
          <w:sz w:val="22"/>
          <w:szCs w:val="22"/>
        </w:rPr>
        <w:t>die Bundesförderung für „</w:t>
      </w:r>
      <w:r w:rsidRPr="000318D0">
        <w:rPr>
          <w:rFonts w:ascii="Verdana" w:hAnsi="Verdana" w:cs="Arial"/>
          <w:sz w:val="22"/>
          <w:szCs w:val="22"/>
        </w:rPr>
        <w:t>Corona-gerechte stationäre raumlufttechnischen Anlagen</w:t>
      </w:r>
      <w:r w:rsidR="00DF0381">
        <w:rPr>
          <w:rFonts w:ascii="Verdana" w:hAnsi="Verdana" w:cs="Arial"/>
          <w:sz w:val="22"/>
          <w:szCs w:val="22"/>
        </w:rPr>
        <w:t>“</w:t>
      </w:r>
      <w:r w:rsidR="00314FA6">
        <w:rPr>
          <w:rFonts w:ascii="Verdana" w:hAnsi="Verdana" w:cs="Arial"/>
          <w:sz w:val="22"/>
          <w:szCs w:val="22"/>
        </w:rPr>
        <w:t xml:space="preserve"> – und die Antragsfrist endet bereits am 31.12.2021, wie das Bundesamt für Wirtschaft und Ausfuhrkontrolle (BAFA) mitteilt</w:t>
      </w:r>
      <w:r>
        <w:rPr>
          <w:rFonts w:ascii="Verdana" w:hAnsi="Verdana" w:cs="Arial"/>
          <w:sz w:val="22"/>
          <w:szCs w:val="22"/>
        </w:rPr>
        <w:t xml:space="preserve">. </w:t>
      </w:r>
      <w:r w:rsidRPr="000318D0">
        <w:rPr>
          <w:rFonts w:ascii="Verdana" w:hAnsi="Verdana" w:cs="Arial"/>
          <w:sz w:val="22"/>
          <w:szCs w:val="22"/>
        </w:rPr>
        <w:t xml:space="preserve">Antragsberechtigt sind </w:t>
      </w:r>
      <w:r w:rsidR="003B65AC" w:rsidRPr="000318D0">
        <w:rPr>
          <w:rFonts w:ascii="Verdana" w:hAnsi="Verdana" w:cs="Arial"/>
          <w:sz w:val="22"/>
          <w:szCs w:val="22"/>
        </w:rPr>
        <w:t xml:space="preserve">öffentliche und private Träger </w:t>
      </w:r>
      <w:r w:rsidR="003B65AC">
        <w:rPr>
          <w:rFonts w:ascii="Verdana" w:hAnsi="Verdana" w:cs="Arial"/>
          <w:sz w:val="22"/>
          <w:szCs w:val="22"/>
        </w:rPr>
        <w:t xml:space="preserve">von </w:t>
      </w:r>
      <w:r w:rsidRPr="000318D0">
        <w:rPr>
          <w:rFonts w:ascii="Verdana" w:hAnsi="Verdana" w:cs="Arial"/>
          <w:sz w:val="22"/>
          <w:szCs w:val="22"/>
        </w:rPr>
        <w:t>Einrichtunge</w:t>
      </w:r>
      <w:r w:rsidR="002A19F1">
        <w:rPr>
          <w:rFonts w:ascii="Verdana" w:hAnsi="Verdana" w:cs="Arial"/>
          <w:sz w:val="22"/>
          <w:szCs w:val="22"/>
        </w:rPr>
        <w:t>n für Kinder unter zwölf Jahren</w:t>
      </w:r>
      <w:r w:rsidRPr="000318D0">
        <w:rPr>
          <w:rFonts w:ascii="Verdana" w:hAnsi="Verdana" w:cs="Arial"/>
          <w:sz w:val="22"/>
          <w:szCs w:val="22"/>
        </w:rPr>
        <w:t xml:space="preserve">, also </w:t>
      </w:r>
      <w:r w:rsidR="002A19F1">
        <w:rPr>
          <w:rFonts w:ascii="Verdana" w:hAnsi="Verdana" w:cs="Arial"/>
          <w:sz w:val="22"/>
          <w:szCs w:val="22"/>
        </w:rPr>
        <w:t xml:space="preserve">Kindertagespflegestellen, </w:t>
      </w:r>
      <w:r>
        <w:rPr>
          <w:rFonts w:ascii="Verdana" w:hAnsi="Verdana" w:cs="Arial"/>
          <w:sz w:val="22"/>
          <w:szCs w:val="22"/>
        </w:rPr>
        <w:t xml:space="preserve">Kitas, Horte und </w:t>
      </w:r>
      <w:r w:rsidRPr="000318D0">
        <w:rPr>
          <w:rFonts w:ascii="Verdana" w:hAnsi="Verdana" w:cs="Arial"/>
          <w:sz w:val="22"/>
          <w:szCs w:val="22"/>
        </w:rPr>
        <w:t>staatli</w:t>
      </w:r>
      <w:bookmarkStart w:id="0" w:name="_GoBack"/>
      <w:bookmarkEnd w:id="0"/>
      <w:r w:rsidRPr="000318D0">
        <w:rPr>
          <w:rFonts w:ascii="Verdana" w:hAnsi="Verdana" w:cs="Arial"/>
          <w:sz w:val="22"/>
          <w:szCs w:val="22"/>
        </w:rPr>
        <w:t>ch anerka</w:t>
      </w:r>
      <w:r w:rsidR="0062350B">
        <w:rPr>
          <w:rFonts w:ascii="Verdana" w:hAnsi="Verdana" w:cs="Arial"/>
          <w:sz w:val="22"/>
          <w:szCs w:val="22"/>
        </w:rPr>
        <w:t>nnte allgemeinbildende Schulen.</w:t>
      </w:r>
    </w:p>
    <w:p w:rsidR="008B0ED2" w:rsidRDefault="008B0ED2" w:rsidP="008B0ED2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9D25D0" w:rsidRPr="009D25D0" w:rsidRDefault="009D25D0" w:rsidP="008B0ED2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9D25D0">
        <w:rPr>
          <w:rFonts w:ascii="Verdana" w:hAnsi="Verdana" w:cs="Arial"/>
          <w:b/>
          <w:sz w:val="22"/>
          <w:szCs w:val="22"/>
        </w:rPr>
        <w:t>Dezentrale Lüftungsgeräte bieten schnelle Abhilfe</w:t>
      </w:r>
    </w:p>
    <w:p w:rsidR="008B0ED2" w:rsidRDefault="008B0ED2" w:rsidP="008B0ED2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 w:rsidRPr="000318D0">
        <w:rPr>
          <w:rFonts w:ascii="Verdana" w:hAnsi="Verdana" w:cs="Arial"/>
          <w:sz w:val="22"/>
          <w:szCs w:val="22"/>
        </w:rPr>
        <w:t>Gefördert wird der Neueinbau stationärer Anlagen, die im kombinierten reinen Zu-/</w:t>
      </w:r>
      <w:proofErr w:type="spellStart"/>
      <w:r w:rsidRPr="000318D0">
        <w:rPr>
          <w:rFonts w:ascii="Verdana" w:hAnsi="Verdana" w:cs="Arial"/>
          <w:sz w:val="22"/>
          <w:szCs w:val="22"/>
        </w:rPr>
        <w:t>Abluftbetrieb</w:t>
      </w:r>
      <w:proofErr w:type="spellEnd"/>
      <w:r w:rsidRPr="000318D0">
        <w:rPr>
          <w:rFonts w:ascii="Verdana" w:hAnsi="Verdana" w:cs="Arial"/>
          <w:sz w:val="22"/>
          <w:szCs w:val="22"/>
        </w:rPr>
        <w:t xml:space="preserve"> mit Wärmerückgewinnung betrieben werden.</w:t>
      </w:r>
      <w:r>
        <w:rPr>
          <w:rFonts w:ascii="Verdana" w:hAnsi="Verdana" w:cs="Arial"/>
          <w:sz w:val="22"/>
          <w:szCs w:val="22"/>
        </w:rPr>
        <w:t xml:space="preserve"> „</w:t>
      </w:r>
      <w:r w:rsidR="00DF0381">
        <w:rPr>
          <w:rFonts w:ascii="Verdana" w:hAnsi="Verdana" w:cs="Arial"/>
          <w:sz w:val="22"/>
          <w:szCs w:val="22"/>
        </w:rPr>
        <w:t>Mit unseren dezentralen Lüftungsgeräten LTM dezent</w:t>
      </w:r>
      <w:r w:rsidR="003B65AC">
        <w:rPr>
          <w:rFonts w:ascii="Verdana" w:hAnsi="Verdana" w:cs="Arial"/>
          <w:sz w:val="22"/>
          <w:szCs w:val="22"/>
        </w:rPr>
        <w:t xml:space="preserve"> 800</w:t>
      </w:r>
      <w:r w:rsidR="00DF0381">
        <w:rPr>
          <w:rFonts w:ascii="Verdana" w:hAnsi="Verdana" w:cs="Arial"/>
          <w:sz w:val="22"/>
          <w:szCs w:val="22"/>
        </w:rPr>
        <w:t xml:space="preserve"> lassen sich jetzt noch Anlagen planen und eine Förderung beantragen</w:t>
      </w:r>
      <w:r>
        <w:rPr>
          <w:rFonts w:ascii="Verdana" w:hAnsi="Verdana" w:cs="Arial"/>
          <w:sz w:val="22"/>
          <w:szCs w:val="22"/>
        </w:rPr>
        <w:t xml:space="preserve">“, </w:t>
      </w:r>
      <w:r w:rsidR="00DF0381">
        <w:rPr>
          <w:rFonts w:ascii="Verdana" w:hAnsi="Verdana" w:cs="Arial"/>
          <w:sz w:val="22"/>
          <w:szCs w:val="22"/>
        </w:rPr>
        <w:t>erklärt</w:t>
      </w:r>
      <w:r>
        <w:rPr>
          <w:rFonts w:ascii="Verdana" w:hAnsi="Verdana" w:cs="Arial"/>
          <w:sz w:val="22"/>
          <w:szCs w:val="22"/>
        </w:rPr>
        <w:t xml:space="preserve"> Max. </w:t>
      </w:r>
      <w:r w:rsidR="00DF0381">
        <w:rPr>
          <w:rFonts w:ascii="Verdana" w:hAnsi="Verdana" w:cs="Arial"/>
          <w:sz w:val="22"/>
          <w:szCs w:val="22"/>
        </w:rPr>
        <w:t>„Dabei unterstützen sowohl unser</w:t>
      </w:r>
      <w:r w:rsidR="00314FA6">
        <w:rPr>
          <w:rFonts w:ascii="Verdana" w:hAnsi="Verdana" w:cs="Arial"/>
          <w:sz w:val="22"/>
          <w:szCs w:val="22"/>
        </w:rPr>
        <w:t xml:space="preserve">e Fachpartner aus dem Handwerk </w:t>
      </w:r>
      <w:r w:rsidR="002A19F1">
        <w:rPr>
          <w:rFonts w:ascii="Verdana" w:hAnsi="Verdana" w:cs="Arial"/>
          <w:sz w:val="22"/>
          <w:szCs w:val="22"/>
        </w:rPr>
        <w:t xml:space="preserve">und unsere Fachplaner </w:t>
      </w:r>
      <w:r w:rsidR="00314FA6">
        <w:rPr>
          <w:rFonts w:ascii="Verdana" w:hAnsi="Verdana" w:cs="Arial"/>
          <w:sz w:val="22"/>
          <w:szCs w:val="22"/>
        </w:rPr>
        <w:t>als auch wir die Schulträger gern.“</w:t>
      </w:r>
      <w:r w:rsidR="00DF038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2"/>
          <w:sz w:val="22"/>
          <w:szCs w:val="22"/>
        </w:rPr>
        <w:t>Nur zwei Bohrungen durch die Außenwand</w:t>
      </w:r>
      <w:r w:rsidR="002A19F1">
        <w:rPr>
          <w:rFonts w:ascii="Verdana" w:hAnsi="Verdana" w:cs="Arial"/>
          <w:spacing w:val="-2"/>
          <w:sz w:val="22"/>
          <w:szCs w:val="22"/>
        </w:rPr>
        <w:t>,</w:t>
      </w:r>
      <w:r>
        <w:rPr>
          <w:rFonts w:ascii="Verdana" w:hAnsi="Verdana" w:cs="Arial"/>
          <w:spacing w:val="-2"/>
          <w:sz w:val="22"/>
          <w:szCs w:val="22"/>
        </w:rPr>
        <w:t xml:space="preserve"> eine Steckdose </w:t>
      </w:r>
      <w:r w:rsidR="002A19F1">
        <w:rPr>
          <w:rFonts w:ascii="Verdana" w:hAnsi="Verdana" w:cs="Arial"/>
          <w:spacing w:val="-2"/>
          <w:sz w:val="22"/>
          <w:szCs w:val="22"/>
        </w:rPr>
        <w:t xml:space="preserve">und die Deckenbefestigung </w:t>
      </w:r>
      <w:r>
        <w:rPr>
          <w:rFonts w:ascii="Verdana" w:hAnsi="Verdana" w:cs="Arial"/>
          <w:spacing w:val="-2"/>
          <w:sz w:val="22"/>
          <w:szCs w:val="22"/>
        </w:rPr>
        <w:t xml:space="preserve">sind </w:t>
      </w:r>
      <w:proofErr w:type="spellStart"/>
      <w:r w:rsidR="00A763BD">
        <w:rPr>
          <w:rFonts w:ascii="Verdana" w:hAnsi="Verdana" w:cs="Arial"/>
          <w:spacing w:val="-2"/>
          <w:sz w:val="22"/>
          <w:szCs w:val="22"/>
        </w:rPr>
        <w:lastRenderedPageBreak/>
        <w:t>bauseits</w:t>
      </w:r>
      <w:proofErr w:type="spellEnd"/>
      <w:r w:rsidR="00A763BD">
        <w:rPr>
          <w:rFonts w:ascii="Verdana" w:hAnsi="Verdana" w:cs="Arial"/>
          <w:spacing w:val="-2"/>
          <w:sz w:val="22"/>
          <w:szCs w:val="22"/>
        </w:rPr>
        <w:t xml:space="preserve"> </w:t>
      </w:r>
      <w:r>
        <w:rPr>
          <w:rFonts w:ascii="Verdana" w:hAnsi="Verdana" w:cs="Arial"/>
          <w:spacing w:val="-2"/>
          <w:sz w:val="22"/>
          <w:szCs w:val="22"/>
        </w:rPr>
        <w:t xml:space="preserve">nötig, um das LTM dezent von </w:t>
      </w:r>
      <w:proofErr w:type="spellStart"/>
      <w:r>
        <w:rPr>
          <w:rFonts w:ascii="Verdana" w:hAnsi="Verdana" w:cs="Arial"/>
          <w:spacing w:val="-2"/>
          <w:sz w:val="22"/>
          <w:szCs w:val="22"/>
        </w:rPr>
        <w:t>tecalor</w:t>
      </w:r>
      <w:proofErr w:type="spellEnd"/>
      <w:r>
        <w:rPr>
          <w:rFonts w:ascii="Verdana" w:hAnsi="Verdana" w:cs="Arial"/>
          <w:spacing w:val="-2"/>
          <w:sz w:val="22"/>
          <w:szCs w:val="22"/>
        </w:rPr>
        <w:t xml:space="preserve"> zu installieren. Durch eine </w:t>
      </w:r>
      <w:r w:rsidR="00A763BD">
        <w:rPr>
          <w:rFonts w:ascii="Verdana" w:hAnsi="Verdana" w:cs="Arial"/>
          <w:spacing w:val="-2"/>
          <w:sz w:val="22"/>
          <w:szCs w:val="22"/>
        </w:rPr>
        <w:t xml:space="preserve">Wanddurchführung </w:t>
      </w:r>
      <w:r>
        <w:rPr>
          <w:rFonts w:ascii="Verdana" w:hAnsi="Verdana" w:cs="Arial"/>
          <w:spacing w:val="-2"/>
          <w:sz w:val="22"/>
          <w:szCs w:val="22"/>
        </w:rPr>
        <w:t xml:space="preserve">saugt das dezentrale Lüftungsgerät Frischluft von außen an und erwärmt diese mit der Energie aus der Abluft, die nach dem Wärmeaustausch </w:t>
      </w:r>
      <w:r w:rsidR="00A763BD">
        <w:rPr>
          <w:rFonts w:ascii="Verdana" w:hAnsi="Verdana" w:cs="Arial"/>
          <w:spacing w:val="-2"/>
          <w:sz w:val="22"/>
          <w:szCs w:val="22"/>
        </w:rPr>
        <w:t xml:space="preserve">durch die zweite Wanddurchführung </w:t>
      </w:r>
      <w:r>
        <w:rPr>
          <w:rFonts w:ascii="Verdana" w:hAnsi="Verdana" w:cs="Arial"/>
          <w:spacing w:val="-2"/>
          <w:sz w:val="22"/>
          <w:szCs w:val="22"/>
        </w:rPr>
        <w:t xml:space="preserve">nach außen abgeblasen wird. Der </w:t>
      </w:r>
      <w:r w:rsidR="009D25D0">
        <w:rPr>
          <w:rFonts w:ascii="Verdana" w:hAnsi="Verdana" w:cs="Arial"/>
          <w:spacing w:val="-2"/>
          <w:sz w:val="22"/>
          <w:szCs w:val="22"/>
        </w:rPr>
        <w:t xml:space="preserve">nötige </w:t>
      </w:r>
      <w:r>
        <w:rPr>
          <w:rFonts w:ascii="Verdana" w:hAnsi="Verdana" w:cs="Arial"/>
          <w:spacing w:val="-2"/>
          <w:sz w:val="22"/>
          <w:szCs w:val="22"/>
        </w:rPr>
        <w:t>Luftaustausch lässt sich so ohne Unterbrechung des Unterrichts,</w:t>
      </w:r>
      <w:r w:rsidR="00F84A95">
        <w:rPr>
          <w:rFonts w:ascii="Verdana" w:hAnsi="Verdana" w:cs="Arial"/>
          <w:spacing w:val="-2"/>
          <w:sz w:val="22"/>
          <w:szCs w:val="22"/>
        </w:rPr>
        <w:t xml:space="preserve"> mit nur minimalen Wärmeverlusten</w:t>
      </w:r>
      <w:r>
        <w:rPr>
          <w:rFonts w:ascii="Verdana" w:hAnsi="Verdana" w:cs="Arial"/>
          <w:spacing w:val="-2"/>
          <w:sz w:val="22"/>
          <w:szCs w:val="22"/>
        </w:rPr>
        <w:t xml:space="preserve"> und ohne Erkältungsgefahr sinnvoll erreichen.</w:t>
      </w:r>
    </w:p>
    <w:p w:rsidR="008B0ED2" w:rsidRDefault="008B0ED2" w:rsidP="008B0ED2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:rsidR="00314FA6" w:rsidRPr="00314FA6" w:rsidRDefault="00314FA6" w:rsidP="008B0ED2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pacing w:val="-2"/>
          <w:sz w:val="22"/>
          <w:szCs w:val="22"/>
        </w:rPr>
      </w:pPr>
      <w:r w:rsidRPr="00314FA6">
        <w:rPr>
          <w:rFonts w:ascii="Verdana" w:hAnsi="Verdana" w:cs="Arial"/>
          <w:b/>
          <w:spacing w:val="-2"/>
          <w:sz w:val="22"/>
          <w:szCs w:val="22"/>
        </w:rPr>
        <w:t>Beratung bei der Suche nach der besten Lösung</w:t>
      </w:r>
    </w:p>
    <w:p w:rsidR="008B0ED2" w:rsidRDefault="00314FA6" w:rsidP="008B0ED2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314FA6">
        <w:rPr>
          <w:rFonts w:ascii="Verdana" w:hAnsi="Verdana" w:cs="Arial"/>
          <w:spacing w:val="-2"/>
          <w:sz w:val="22"/>
          <w:szCs w:val="22"/>
        </w:rPr>
        <w:t xml:space="preserve">„Bei vielen Ratssitzungen und Vorortterminen mit Planern, Schulleitern und Bauämtern konnten wir Kommunen </w:t>
      </w:r>
      <w:r w:rsidR="00203BA9">
        <w:rPr>
          <w:rFonts w:ascii="Verdana" w:hAnsi="Verdana" w:cs="Arial"/>
          <w:spacing w:val="-2"/>
          <w:sz w:val="22"/>
          <w:szCs w:val="22"/>
        </w:rPr>
        <w:t xml:space="preserve">schon </w:t>
      </w:r>
      <w:r w:rsidRPr="00314FA6">
        <w:rPr>
          <w:rFonts w:ascii="Verdana" w:hAnsi="Verdana" w:cs="Arial"/>
          <w:spacing w:val="-2"/>
          <w:sz w:val="22"/>
          <w:szCs w:val="22"/>
        </w:rPr>
        <w:t>beratend zur Seite stehen und so die beste Lüftungslösung für die Kinder finden“</w:t>
      </w:r>
      <w:r>
        <w:rPr>
          <w:rFonts w:ascii="Verdana" w:hAnsi="Verdana" w:cs="Arial"/>
          <w:spacing w:val="-2"/>
          <w:sz w:val="22"/>
          <w:szCs w:val="22"/>
        </w:rPr>
        <w:t>, erläutert der Geschäftsführer. So bewegt beispielsweise das LTM dezent 800 b</w:t>
      </w:r>
      <w:r w:rsidR="00A763BD">
        <w:rPr>
          <w:rFonts w:ascii="Verdana" w:hAnsi="Verdana" w:cs="Arial"/>
          <w:spacing w:val="-2"/>
          <w:sz w:val="22"/>
          <w:szCs w:val="22"/>
        </w:rPr>
        <w:t xml:space="preserve">is zu </w:t>
      </w:r>
      <w:r w:rsidR="008B0ED2">
        <w:rPr>
          <w:rFonts w:ascii="Verdana" w:hAnsi="Verdana" w:cs="Arial"/>
          <w:spacing w:val="-2"/>
          <w:sz w:val="22"/>
          <w:szCs w:val="22"/>
        </w:rPr>
        <w:t>8</w:t>
      </w:r>
      <w:r w:rsidR="008B0ED2" w:rsidRPr="00CC24FA">
        <w:rPr>
          <w:rFonts w:ascii="Verdana" w:hAnsi="Verdana" w:cs="Arial"/>
          <w:spacing w:val="-2"/>
          <w:sz w:val="22"/>
          <w:szCs w:val="22"/>
        </w:rPr>
        <w:t>7</w:t>
      </w:r>
      <w:r w:rsidR="008B0ED2">
        <w:rPr>
          <w:rFonts w:ascii="Verdana" w:hAnsi="Verdana" w:cs="Arial"/>
          <w:spacing w:val="-2"/>
          <w:sz w:val="22"/>
          <w:szCs w:val="22"/>
        </w:rPr>
        <w:t xml:space="preserve">0 Kubikmeter Luft pro Stunde, was auch in großen Räumen für </w:t>
      </w:r>
      <w:r w:rsidR="00A763BD">
        <w:rPr>
          <w:rFonts w:ascii="Verdana" w:hAnsi="Verdana" w:cs="Arial"/>
          <w:spacing w:val="-2"/>
          <w:sz w:val="22"/>
          <w:szCs w:val="22"/>
        </w:rPr>
        <w:t>Corona-gerechten, erhöhten</w:t>
      </w:r>
      <w:r w:rsidR="00F84A95">
        <w:rPr>
          <w:rFonts w:ascii="Verdana" w:hAnsi="Verdana" w:cs="Arial"/>
          <w:spacing w:val="-2"/>
          <w:sz w:val="22"/>
          <w:szCs w:val="22"/>
        </w:rPr>
        <w:t xml:space="preserve"> </w:t>
      </w:r>
      <w:r w:rsidR="008B0ED2">
        <w:rPr>
          <w:rFonts w:ascii="Verdana" w:hAnsi="Verdana" w:cs="Arial"/>
          <w:spacing w:val="-2"/>
          <w:sz w:val="22"/>
          <w:szCs w:val="22"/>
        </w:rPr>
        <w:t xml:space="preserve">Luftaustauch ausreicht. Zudem </w:t>
      </w:r>
      <w:r w:rsidR="00A763BD">
        <w:rPr>
          <w:rFonts w:ascii="Verdana" w:hAnsi="Verdana" w:cs="Arial"/>
          <w:spacing w:val="-2"/>
          <w:sz w:val="22"/>
          <w:szCs w:val="22"/>
        </w:rPr>
        <w:t>besteht die Option einer</w:t>
      </w:r>
      <w:r w:rsidR="008B0ED2">
        <w:rPr>
          <w:rFonts w:ascii="Verdana" w:hAnsi="Verdana" w:cs="Arial"/>
          <w:spacing w:val="-2"/>
          <w:sz w:val="22"/>
          <w:szCs w:val="22"/>
        </w:rPr>
        <w:t xml:space="preserve"> Kühlfunktion für die immer heißeren Sommer. Dadurch verringert es nicht nur kurzfristig die Ansteckungsgefahr, sondern steigert langfristig die Konzentrationsfähigkeit in den Klassen. Die dezentralen Lüftungsgeräte LTM dezent von </w:t>
      </w:r>
      <w:proofErr w:type="spellStart"/>
      <w:r w:rsidR="008B0ED2">
        <w:rPr>
          <w:rFonts w:ascii="Verdana" w:hAnsi="Verdana" w:cs="Arial"/>
          <w:spacing w:val="-2"/>
          <w:sz w:val="22"/>
          <w:szCs w:val="22"/>
        </w:rPr>
        <w:t>tecalor</w:t>
      </w:r>
      <w:proofErr w:type="spellEnd"/>
      <w:r w:rsidR="008B0ED2">
        <w:rPr>
          <w:rFonts w:ascii="Verdana" w:hAnsi="Verdana" w:cs="Arial"/>
          <w:spacing w:val="-2"/>
          <w:sz w:val="22"/>
          <w:szCs w:val="22"/>
        </w:rPr>
        <w:t xml:space="preserve"> können innerhalb kürzester Zeit von Fachhandwerkern installiert werden.</w:t>
      </w:r>
    </w:p>
    <w:p w:rsidR="008B0ED2" w:rsidRDefault="008B0ED2" w:rsidP="008B0ED2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C61A93" w:rsidRPr="00C61A93" w:rsidRDefault="00C61A93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C61A93">
        <w:rPr>
          <w:rFonts w:ascii="Verdana" w:hAnsi="Verdana" w:cs="Arial"/>
          <w:b/>
          <w:sz w:val="22"/>
          <w:szCs w:val="22"/>
        </w:rPr>
        <w:t>80 Prozent der Gesamtkosten förderfähig</w:t>
      </w:r>
    </w:p>
    <w:p w:rsidR="0007722D" w:rsidRDefault="008B0ED2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Beratungs- und Planungsleistungen und alle baulichen Maßnahmen sind ebenso wie die dezentralen Lüftungsgeräte und deren Installation förderfähig.</w:t>
      </w:r>
      <w:r w:rsidR="009D25D0">
        <w:rPr>
          <w:rFonts w:ascii="Verdana" w:hAnsi="Verdana" w:cs="Arial"/>
          <w:sz w:val="22"/>
          <w:szCs w:val="22"/>
        </w:rPr>
        <w:t xml:space="preserve"> Weitere Informationen zur Förderung von </w:t>
      </w:r>
      <w:r w:rsidR="003402E3">
        <w:rPr>
          <w:rFonts w:ascii="Verdana" w:hAnsi="Verdana" w:cs="Arial"/>
          <w:sz w:val="22"/>
          <w:szCs w:val="22"/>
        </w:rPr>
        <w:t xml:space="preserve">bis zu </w:t>
      </w:r>
      <w:r w:rsidR="009D25D0">
        <w:rPr>
          <w:rFonts w:ascii="Verdana" w:hAnsi="Verdana" w:cs="Arial"/>
          <w:sz w:val="22"/>
          <w:szCs w:val="22"/>
        </w:rPr>
        <w:t>80 Prozent der Kosten sind beim BAFA zu er</w:t>
      </w:r>
      <w:r w:rsidR="0062350B">
        <w:rPr>
          <w:rFonts w:ascii="Verdana" w:hAnsi="Verdana" w:cs="Arial"/>
          <w:sz w:val="22"/>
          <w:szCs w:val="22"/>
        </w:rPr>
        <w:t xml:space="preserve">halten oder direkt bei </w:t>
      </w:r>
      <w:proofErr w:type="spellStart"/>
      <w:r w:rsidR="0062350B">
        <w:rPr>
          <w:rFonts w:ascii="Verdana" w:hAnsi="Verdana" w:cs="Arial"/>
          <w:sz w:val="22"/>
          <w:szCs w:val="22"/>
        </w:rPr>
        <w:t>tecalor</w:t>
      </w:r>
      <w:proofErr w:type="spellEnd"/>
      <w:r w:rsidR="0062350B">
        <w:rPr>
          <w:rFonts w:ascii="Verdana" w:hAnsi="Verdana" w:cs="Arial"/>
          <w:sz w:val="22"/>
          <w:szCs w:val="22"/>
        </w:rPr>
        <w:t>.</w:t>
      </w:r>
    </w:p>
    <w:p w:rsidR="00C61A93" w:rsidRDefault="0062350B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</w:t>
      </w:r>
      <w:r w:rsidR="00A355AA" w:rsidRPr="00FC6193">
        <w:rPr>
          <w:rFonts w:ascii="Verdana" w:hAnsi="Verdana" w:cs="Arial"/>
          <w:sz w:val="22"/>
          <w:szCs w:val="22"/>
        </w:rPr>
        <w:t xml:space="preserve">Zeichen: </w:t>
      </w:r>
      <w:r>
        <w:rPr>
          <w:rFonts w:ascii="Verdana" w:hAnsi="Verdana" w:cs="Arial"/>
          <w:sz w:val="22"/>
          <w:szCs w:val="22"/>
        </w:rPr>
        <w:t>3.047</w:t>
      </w:r>
      <w:r w:rsidR="00203BA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355AA">
        <w:rPr>
          <w:rFonts w:ascii="Verdana" w:hAnsi="Verdana" w:cs="Arial"/>
          <w:sz w:val="22"/>
          <w:szCs w:val="22"/>
        </w:rPr>
        <w:t>Z.i.L</w:t>
      </w:r>
      <w:proofErr w:type="spellEnd"/>
      <w:r w:rsidR="00A355A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)</w:t>
      </w:r>
    </w:p>
    <w:p w:rsidR="00E10790" w:rsidRDefault="00230FC6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2"/>
          <w:szCs w:val="22"/>
        </w:rPr>
        <w:lastRenderedPageBreak/>
        <w:t>P</w:t>
      </w:r>
      <w:r w:rsidR="00CE6CC1" w:rsidRPr="00CE6CC1">
        <w:rPr>
          <w:rFonts w:ascii="Verdana" w:hAnsi="Verdana" w:cs="Arial"/>
          <w:b/>
          <w:sz w:val="22"/>
          <w:szCs w:val="22"/>
        </w:rPr>
        <w:t>ressebild</w:t>
      </w:r>
      <w:r w:rsidR="0062350B">
        <w:rPr>
          <w:rFonts w:ascii="Verdana" w:hAnsi="Verdana" w:cs="Arial"/>
          <w:b/>
          <w:sz w:val="22"/>
          <w:szCs w:val="22"/>
        </w:rPr>
        <w:t>er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C61A93" w:rsidRDefault="00973751" w:rsidP="00C61A93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5389750" cy="3279118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693" b="15467"/>
                    <a:stretch/>
                  </pic:blipFill>
                  <pic:spPr bwMode="auto">
                    <a:xfrm>
                      <a:off x="0" y="0"/>
                      <a:ext cx="5389880" cy="32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89766" cy="3373821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985" b="13418"/>
                    <a:stretch/>
                  </pic:blipFill>
                  <pic:spPr bwMode="auto">
                    <a:xfrm>
                      <a:off x="0" y="0"/>
                      <a:ext cx="5389880" cy="337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A93" w:rsidRDefault="0062350B" w:rsidP="00C61A93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Bildunterschrift:</w:t>
      </w:r>
    </w:p>
    <w:p w:rsidR="00C61A93" w:rsidRPr="0062350B" w:rsidRDefault="00C61A93" w:rsidP="00C61A93">
      <w:pPr>
        <w:ind w:right="2268"/>
        <w:rPr>
          <w:rFonts w:ascii="Verdana" w:hAnsi="Verdana" w:cs="Arial"/>
          <w:sz w:val="21"/>
          <w:szCs w:val="21"/>
        </w:rPr>
      </w:pPr>
      <w:r w:rsidRPr="0062350B">
        <w:rPr>
          <w:rFonts w:ascii="Verdana" w:hAnsi="Verdana" w:cs="Arial"/>
          <w:sz w:val="21"/>
          <w:szCs w:val="21"/>
        </w:rPr>
        <w:t xml:space="preserve">Dezentrale Lüftungsgeräte LTM dezent lassen sich schnell und einfach auch in Schulgebäuden </w:t>
      </w:r>
      <w:r w:rsidR="00386F1C" w:rsidRPr="0062350B">
        <w:rPr>
          <w:rFonts w:ascii="Verdana" w:hAnsi="Verdana" w:cs="Arial"/>
          <w:sz w:val="21"/>
          <w:szCs w:val="21"/>
        </w:rPr>
        <w:t>und</w:t>
      </w:r>
      <w:r w:rsidR="00973751" w:rsidRPr="0062350B">
        <w:rPr>
          <w:rFonts w:ascii="Verdana" w:hAnsi="Verdana" w:cs="Arial"/>
          <w:sz w:val="21"/>
          <w:szCs w:val="21"/>
        </w:rPr>
        <w:t xml:space="preserve"> Kitas </w:t>
      </w:r>
      <w:r w:rsidRPr="0062350B">
        <w:rPr>
          <w:rFonts w:ascii="Verdana" w:hAnsi="Verdana" w:cs="Arial"/>
          <w:sz w:val="21"/>
          <w:szCs w:val="21"/>
        </w:rPr>
        <w:t>nachrüsten.</w:t>
      </w:r>
      <w:r w:rsidR="0062350B">
        <w:rPr>
          <w:rFonts w:ascii="Verdana" w:hAnsi="Verdana" w:cs="Arial"/>
          <w:sz w:val="21"/>
          <w:szCs w:val="21"/>
        </w:rPr>
        <w:t xml:space="preserve"> (QUELLE: </w:t>
      </w:r>
      <w:proofErr w:type="spellStart"/>
      <w:r w:rsidR="0062350B">
        <w:rPr>
          <w:rFonts w:ascii="Verdana" w:hAnsi="Verdana" w:cs="Arial"/>
          <w:sz w:val="21"/>
          <w:szCs w:val="21"/>
        </w:rPr>
        <w:t>tecalor</w:t>
      </w:r>
      <w:proofErr w:type="spellEnd"/>
      <w:r w:rsidR="0062350B">
        <w:rPr>
          <w:rFonts w:ascii="Verdana" w:hAnsi="Verdana" w:cs="Arial"/>
          <w:sz w:val="21"/>
          <w:szCs w:val="21"/>
        </w:rPr>
        <w:t>)</w:t>
      </w:r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C61A93" w:rsidRPr="00360167" w:rsidRDefault="00973751" w:rsidP="00C61A9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  <w:sz w:val="22"/>
        </w:rPr>
        <w:lastRenderedPageBreak/>
        <w:drawing>
          <wp:inline distT="0" distB="0" distL="0" distR="0">
            <wp:extent cx="4840394" cy="32244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46" cy="32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0B" w:rsidRDefault="0062350B" w:rsidP="0062350B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Bildunterschrift:</w:t>
      </w:r>
    </w:p>
    <w:p w:rsidR="00C61A93" w:rsidRPr="0062350B" w:rsidRDefault="00C61A93" w:rsidP="00C61A93">
      <w:pPr>
        <w:autoSpaceDE w:val="0"/>
        <w:autoSpaceDN w:val="0"/>
        <w:adjustRightInd w:val="0"/>
        <w:rPr>
          <w:rFonts w:ascii="Verdana" w:hAnsi="Verdana" w:cs="Arial"/>
          <w:sz w:val="21"/>
          <w:szCs w:val="21"/>
        </w:rPr>
      </w:pPr>
      <w:r w:rsidRPr="0062350B">
        <w:rPr>
          <w:rFonts w:ascii="Verdana" w:hAnsi="Verdana" w:cs="Arial"/>
          <w:sz w:val="21"/>
          <w:szCs w:val="21"/>
        </w:rPr>
        <w:t xml:space="preserve">Das hier unter der Decke installierte dezentrale Lüftungsgerät LTM dezent von </w:t>
      </w:r>
      <w:proofErr w:type="spellStart"/>
      <w:r w:rsidRPr="0062350B">
        <w:rPr>
          <w:rFonts w:ascii="Verdana" w:hAnsi="Verdana" w:cs="Arial"/>
          <w:sz w:val="21"/>
          <w:szCs w:val="21"/>
        </w:rPr>
        <w:t>tecalor</w:t>
      </w:r>
      <w:proofErr w:type="spellEnd"/>
      <w:r w:rsidRPr="0062350B">
        <w:rPr>
          <w:rFonts w:ascii="Verdana" w:hAnsi="Verdana" w:cs="Arial"/>
          <w:sz w:val="21"/>
          <w:szCs w:val="21"/>
        </w:rPr>
        <w:t xml:space="preserve"> verfügt über alle erforderlichen Zulassungen des Deutschen Instituts für Bautechnik (</w:t>
      </w:r>
      <w:proofErr w:type="spellStart"/>
      <w:r w:rsidRPr="0062350B">
        <w:rPr>
          <w:rFonts w:ascii="Verdana" w:hAnsi="Verdana" w:cs="Arial"/>
          <w:sz w:val="21"/>
          <w:szCs w:val="21"/>
        </w:rPr>
        <w:t>DIBt</w:t>
      </w:r>
      <w:proofErr w:type="spellEnd"/>
      <w:r w:rsidRPr="0062350B">
        <w:rPr>
          <w:rFonts w:ascii="Verdana" w:hAnsi="Verdana" w:cs="Arial"/>
          <w:sz w:val="21"/>
          <w:szCs w:val="21"/>
        </w:rPr>
        <w:t>)</w:t>
      </w:r>
      <w:r w:rsidR="00CB51C2" w:rsidRPr="0062350B">
        <w:rPr>
          <w:rFonts w:ascii="Verdana" w:hAnsi="Verdana" w:cs="Arial"/>
          <w:sz w:val="21"/>
          <w:szCs w:val="21"/>
        </w:rPr>
        <w:t xml:space="preserve"> sowie </w:t>
      </w:r>
      <w:r w:rsidR="002A19F1" w:rsidRPr="0062350B">
        <w:rPr>
          <w:rFonts w:ascii="Verdana" w:hAnsi="Verdana" w:cs="Arial"/>
          <w:sz w:val="21"/>
          <w:szCs w:val="21"/>
        </w:rPr>
        <w:t>das Hygiene-Zertifikat gemäß VDI 6022 als Voraussetzung für die 80-%-Förderung</w:t>
      </w:r>
      <w:r w:rsidRPr="0062350B">
        <w:rPr>
          <w:rFonts w:ascii="Verdana" w:hAnsi="Verdana" w:cs="Arial"/>
          <w:sz w:val="21"/>
          <w:szCs w:val="21"/>
        </w:rPr>
        <w:t>. Durch die fachgerechte Montage werden Schulräume kontinuierlich und gut belüftet. Damit tragen Lüftungsgeräte zu einer Verringerung de</w:t>
      </w:r>
      <w:r w:rsidR="002A19F1" w:rsidRPr="0062350B">
        <w:rPr>
          <w:rFonts w:ascii="Verdana" w:hAnsi="Verdana" w:cs="Arial"/>
          <w:sz w:val="21"/>
          <w:szCs w:val="21"/>
        </w:rPr>
        <w:t>s</w:t>
      </w:r>
      <w:r w:rsidRPr="0062350B">
        <w:rPr>
          <w:rFonts w:ascii="Verdana" w:hAnsi="Verdana" w:cs="Arial"/>
          <w:sz w:val="21"/>
          <w:szCs w:val="21"/>
        </w:rPr>
        <w:t xml:space="preserve"> Ansteckung</w:t>
      </w:r>
      <w:r w:rsidR="00474917" w:rsidRPr="0062350B">
        <w:rPr>
          <w:rFonts w:ascii="Verdana" w:hAnsi="Verdana" w:cs="Arial"/>
          <w:sz w:val="21"/>
          <w:szCs w:val="21"/>
        </w:rPr>
        <w:t>srisikos</w:t>
      </w:r>
      <w:r w:rsidRPr="0062350B">
        <w:rPr>
          <w:rFonts w:ascii="Verdana" w:hAnsi="Verdana" w:cs="Arial"/>
          <w:sz w:val="21"/>
          <w:szCs w:val="21"/>
        </w:rPr>
        <w:t xml:space="preserve"> bei.</w:t>
      </w:r>
      <w:r w:rsidR="0062350B">
        <w:rPr>
          <w:rFonts w:ascii="Verdana" w:hAnsi="Verdana" w:cs="Arial"/>
          <w:sz w:val="21"/>
          <w:szCs w:val="21"/>
        </w:rPr>
        <w:t xml:space="preserve"> (QUELLE: </w:t>
      </w:r>
      <w:proofErr w:type="spellStart"/>
      <w:r w:rsidR="0062350B">
        <w:rPr>
          <w:rFonts w:ascii="Verdana" w:hAnsi="Verdana" w:cs="Arial"/>
          <w:sz w:val="21"/>
          <w:szCs w:val="21"/>
        </w:rPr>
        <w:t>tecalor</w:t>
      </w:r>
      <w:proofErr w:type="spellEnd"/>
      <w:r w:rsidR="0062350B">
        <w:rPr>
          <w:rFonts w:ascii="Verdana" w:hAnsi="Verdana" w:cs="Arial"/>
          <w:sz w:val="21"/>
          <w:szCs w:val="21"/>
        </w:rPr>
        <w:t>)</w:t>
      </w:r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9F3F25" w:rsidRDefault="009F3F25">
      <w:pPr>
        <w:rPr>
          <w:rFonts w:ascii="Verdana" w:hAnsi="Verdana" w:cs="Arial"/>
          <w:sz w:val="22"/>
          <w:szCs w:val="22"/>
        </w:rPr>
      </w:pPr>
    </w:p>
    <w:p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11" w:history="1">
        <w:r w:rsidR="00386F1C" w:rsidRPr="007F1514">
          <w:rPr>
            <w:rStyle w:val="Hyperlink"/>
            <w:rFonts w:ascii="Verdana" w:hAnsi="Verdana" w:cs="Arial"/>
            <w:sz w:val="22"/>
            <w:szCs w:val="22"/>
          </w:rPr>
          <w:t>www.tecalor.de/pressemeldung</w:t>
        </w:r>
      </w:hyperlink>
      <w:r w:rsidR="00386F1C">
        <w:rPr>
          <w:rFonts w:ascii="Verdana" w:hAnsi="Verdana" w:cs="Arial"/>
          <w:sz w:val="22"/>
          <w:szCs w:val="22"/>
        </w:rPr>
        <w:t xml:space="preserve"> </w:t>
      </w: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62350B" w:rsidRDefault="0062350B" w:rsidP="001C51A4">
      <w:pPr>
        <w:rPr>
          <w:rFonts w:ascii="Verdana" w:hAnsi="Verdana" w:cs="Arial"/>
          <w:sz w:val="22"/>
          <w:szCs w:val="22"/>
        </w:rPr>
      </w:pPr>
    </w:p>
    <w:p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="006A106F" w:rsidRPr="00FC6193">
        <w:rPr>
          <w:rFonts w:ascii="Verdana" w:hAnsi="Verdana" w:cs="Arial"/>
          <w:b/>
          <w:sz w:val="21"/>
          <w:szCs w:val="21"/>
        </w:rPr>
        <w:t xml:space="preserve">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 w:rsidR="0031761E">
        <w:rPr>
          <w:rFonts w:ascii="Verdana" w:hAnsi="Verdana" w:cs="Arial"/>
          <w:sz w:val="21"/>
          <w:szCs w:val="21"/>
        </w:rPr>
        <w:t>tecalor</w:t>
      </w:r>
      <w:proofErr w:type="spellEnd"/>
      <w:r w:rsidR="0031761E">
        <w:rPr>
          <w:rFonts w:ascii="Verdana" w:hAnsi="Verdana" w:cs="Arial"/>
          <w:sz w:val="21"/>
          <w:szCs w:val="21"/>
        </w:rPr>
        <w:t xml:space="preserve"> GmbH</w:t>
      </w:r>
    </w:p>
    <w:p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Sonja </w:t>
      </w:r>
      <w:proofErr w:type="spellStart"/>
      <w:r>
        <w:rPr>
          <w:rFonts w:ascii="Verdana" w:hAnsi="Verdana" w:cs="Arial"/>
          <w:sz w:val="21"/>
          <w:szCs w:val="21"/>
        </w:rPr>
        <w:t>Knoke</w:t>
      </w:r>
      <w:proofErr w:type="spellEnd"/>
    </w:p>
    <w:p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2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3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ED9BB" w16cid:durableId="252CF886"/>
  <w16cid:commentId w16cid:paraId="1D2CF3FB" w16cid:durableId="252CF8BD"/>
  <w16cid:commentId w16cid:paraId="704FE8A7" w16cid:durableId="252CF94F"/>
  <w16cid:commentId w16cid:paraId="037DE3C2" w16cid:durableId="252E34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57" w:rsidRDefault="00624957" w:rsidP="004C231C">
      <w:r>
        <w:separator/>
      </w:r>
    </w:p>
  </w:endnote>
  <w:endnote w:type="continuationSeparator" w:id="0">
    <w:p w:rsidR="00624957" w:rsidRDefault="00624957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57" w:rsidRDefault="00624957" w:rsidP="004C231C">
      <w:r>
        <w:separator/>
      </w:r>
    </w:p>
  </w:footnote>
  <w:footnote w:type="continuationSeparator" w:id="0">
    <w:p w:rsidR="00624957" w:rsidRDefault="00624957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CE6AF"/>
    <w:multiLevelType w:val="hybridMultilevel"/>
    <w:tmpl w:val="8DBC6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0E98"/>
    <w:rsid w:val="0000564A"/>
    <w:rsid w:val="000062FD"/>
    <w:rsid w:val="0002419D"/>
    <w:rsid w:val="00030376"/>
    <w:rsid w:val="0003085B"/>
    <w:rsid w:val="000318D0"/>
    <w:rsid w:val="00032408"/>
    <w:rsid w:val="00040C77"/>
    <w:rsid w:val="00050D64"/>
    <w:rsid w:val="0005519A"/>
    <w:rsid w:val="00057B7E"/>
    <w:rsid w:val="00066BBC"/>
    <w:rsid w:val="00073077"/>
    <w:rsid w:val="0007696A"/>
    <w:rsid w:val="0007722D"/>
    <w:rsid w:val="000922CE"/>
    <w:rsid w:val="000A0F95"/>
    <w:rsid w:val="000A16B2"/>
    <w:rsid w:val="000A6B09"/>
    <w:rsid w:val="000C15B9"/>
    <w:rsid w:val="000C49C4"/>
    <w:rsid w:val="000C4B30"/>
    <w:rsid w:val="000C6BC1"/>
    <w:rsid w:val="000C7841"/>
    <w:rsid w:val="000D0A49"/>
    <w:rsid w:val="000E0706"/>
    <w:rsid w:val="000E630F"/>
    <w:rsid w:val="001064B3"/>
    <w:rsid w:val="00112A2D"/>
    <w:rsid w:val="00116541"/>
    <w:rsid w:val="00121BF6"/>
    <w:rsid w:val="00130253"/>
    <w:rsid w:val="00135DBF"/>
    <w:rsid w:val="00142331"/>
    <w:rsid w:val="00153ACF"/>
    <w:rsid w:val="00184026"/>
    <w:rsid w:val="00186972"/>
    <w:rsid w:val="00186C65"/>
    <w:rsid w:val="001915B6"/>
    <w:rsid w:val="0019503A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7686"/>
    <w:rsid w:val="001F099D"/>
    <w:rsid w:val="001F1CF6"/>
    <w:rsid w:val="001F5377"/>
    <w:rsid w:val="001F6499"/>
    <w:rsid w:val="00201DA5"/>
    <w:rsid w:val="00203BA9"/>
    <w:rsid w:val="00207AE5"/>
    <w:rsid w:val="00217942"/>
    <w:rsid w:val="0022099E"/>
    <w:rsid w:val="00227ED1"/>
    <w:rsid w:val="00230848"/>
    <w:rsid w:val="00230AFA"/>
    <w:rsid w:val="00230FC6"/>
    <w:rsid w:val="002310D5"/>
    <w:rsid w:val="002315A1"/>
    <w:rsid w:val="0025353C"/>
    <w:rsid w:val="00256EBD"/>
    <w:rsid w:val="00263758"/>
    <w:rsid w:val="00272E7B"/>
    <w:rsid w:val="00280710"/>
    <w:rsid w:val="002A0279"/>
    <w:rsid w:val="002A19F1"/>
    <w:rsid w:val="002A45C4"/>
    <w:rsid w:val="002C4402"/>
    <w:rsid w:val="002D0858"/>
    <w:rsid w:val="002E5B6F"/>
    <w:rsid w:val="002F5442"/>
    <w:rsid w:val="00314FA6"/>
    <w:rsid w:val="003161D4"/>
    <w:rsid w:val="0031761E"/>
    <w:rsid w:val="00326F6E"/>
    <w:rsid w:val="0033298B"/>
    <w:rsid w:val="003354C7"/>
    <w:rsid w:val="003402E3"/>
    <w:rsid w:val="00342D28"/>
    <w:rsid w:val="003605DF"/>
    <w:rsid w:val="00361D53"/>
    <w:rsid w:val="00365A17"/>
    <w:rsid w:val="00372E52"/>
    <w:rsid w:val="00373369"/>
    <w:rsid w:val="00373F31"/>
    <w:rsid w:val="00381DA2"/>
    <w:rsid w:val="0038209F"/>
    <w:rsid w:val="00382794"/>
    <w:rsid w:val="00386F1C"/>
    <w:rsid w:val="0039606B"/>
    <w:rsid w:val="0039641B"/>
    <w:rsid w:val="00396615"/>
    <w:rsid w:val="003A0298"/>
    <w:rsid w:val="003B09FE"/>
    <w:rsid w:val="003B2E8F"/>
    <w:rsid w:val="003B65AC"/>
    <w:rsid w:val="003D5BE4"/>
    <w:rsid w:val="003D5F69"/>
    <w:rsid w:val="003E1701"/>
    <w:rsid w:val="003E1731"/>
    <w:rsid w:val="003E1E00"/>
    <w:rsid w:val="003E2267"/>
    <w:rsid w:val="003F0F76"/>
    <w:rsid w:val="003F5EBB"/>
    <w:rsid w:val="00400F83"/>
    <w:rsid w:val="00401981"/>
    <w:rsid w:val="00404E6D"/>
    <w:rsid w:val="00413A6C"/>
    <w:rsid w:val="00414059"/>
    <w:rsid w:val="00425A8C"/>
    <w:rsid w:val="004302A2"/>
    <w:rsid w:val="0043177C"/>
    <w:rsid w:val="004438ED"/>
    <w:rsid w:val="00445925"/>
    <w:rsid w:val="004463DF"/>
    <w:rsid w:val="004604F2"/>
    <w:rsid w:val="00463158"/>
    <w:rsid w:val="00466830"/>
    <w:rsid w:val="00467662"/>
    <w:rsid w:val="0047247F"/>
    <w:rsid w:val="00474917"/>
    <w:rsid w:val="0049261C"/>
    <w:rsid w:val="0049478C"/>
    <w:rsid w:val="004A1AF5"/>
    <w:rsid w:val="004B4E6F"/>
    <w:rsid w:val="004B63A0"/>
    <w:rsid w:val="004B6426"/>
    <w:rsid w:val="004C231C"/>
    <w:rsid w:val="004C7B8E"/>
    <w:rsid w:val="004D57FE"/>
    <w:rsid w:val="004E14CA"/>
    <w:rsid w:val="004F0BA3"/>
    <w:rsid w:val="004F58F6"/>
    <w:rsid w:val="004F782A"/>
    <w:rsid w:val="00513188"/>
    <w:rsid w:val="00520218"/>
    <w:rsid w:val="005221FF"/>
    <w:rsid w:val="005239BC"/>
    <w:rsid w:val="00531476"/>
    <w:rsid w:val="00536ECD"/>
    <w:rsid w:val="00544A56"/>
    <w:rsid w:val="005501B2"/>
    <w:rsid w:val="00551AFA"/>
    <w:rsid w:val="005545C4"/>
    <w:rsid w:val="00565BB1"/>
    <w:rsid w:val="00565D43"/>
    <w:rsid w:val="005700EF"/>
    <w:rsid w:val="00573CF7"/>
    <w:rsid w:val="00574458"/>
    <w:rsid w:val="00574D6A"/>
    <w:rsid w:val="00574E7F"/>
    <w:rsid w:val="00586DD1"/>
    <w:rsid w:val="00590693"/>
    <w:rsid w:val="005A077B"/>
    <w:rsid w:val="005A2B3F"/>
    <w:rsid w:val="005A75D7"/>
    <w:rsid w:val="005C212A"/>
    <w:rsid w:val="005C28FF"/>
    <w:rsid w:val="005C4A2B"/>
    <w:rsid w:val="005C53B5"/>
    <w:rsid w:val="005C7A52"/>
    <w:rsid w:val="005D135A"/>
    <w:rsid w:val="005D54D8"/>
    <w:rsid w:val="005E2907"/>
    <w:rsid w:val="005E3AC6"/>
    <w:rsid w:val="005F7B39"/>
    <w:rsid w:val="0060599B"/>
    <w:rsid w:val="00611AE4"/>
    <w:rsid w:val="00612D63"/>
    <w:rsid w:val="00615056"/>
    <w:rsid w:val="0062350B"/>
    <w:rsid w:val="00624957"/>
    <w:rsid w:val="00625BB2"/>
    <w:rsid w:val="00637A92"/>
    <w:rsid w:val="00640D34"/>
    <w:rsid w:val="0064333D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8440D"/>
    <w:rsid w:val="0068590F"/>
    <w:rsid w:val="00693834"/>
    <w:rsid w:val="006A00C0"/>
    <w:rsid w:val="006A106F"/>
    <w:rsid w:val="006B0F46"/>
    <w:rsid w:val="006B14E2"/>
    <w:rsid w:val="006D5BB0"/>
    <w:rsid w:val="006E091F"/>
    <w:rsid w:val="006E34D5"/>
    <w:rsid w:val="006E4688"/>
    <w:rsid w:val="006F2C04"/>
    <w:rsid w:val="00701BAA"/>
    <w:rsid w:val="00702CB0"/>
    <w:rsid w:val="0071173C"/>
    <w:rsid w:val="00711B49"/>
    <w:rsid w:val="00715C25"/>
    <w:rsid w:val="007161C0"/>
    <w:rsid w:val="00722573"/>
    <w:rsid w:val="00722B77"/>
    <w:rsid w:val="007269A1"/>
    <w:rsid w:val="00731B4D"/>
    <w:rsid w:val="00733F6C"/>
    <w:rsid w:val="007449C5"/>
    <w:rsid w:val="00745287"/>
    <w:rsid w:val="00751764"/>
    <w:rsid w:val="007605B9"/>
    <w:rsid w:val="00760911"/>
    <w:rsid w:val="00763387"/>
    <w:rsid w:val="00763EDB"/>
    <w:rsid w:val="00765E20"/>
    <w:rsid w:val="00780A9C"/>
    <w:rsid w:val="007844EF"/>
    <w:rsid w:val="007919B0"/>
    <w:rsid w:val="007941CD"/>
    <w:rsid w:val="007A08B9"/>
    <w:rsid w:val="007C05C7"/>
    <w:rsid w:val="007C43F6"/>
    <w:rsid w:val="007E0B15"/>
    <w:rsid w:val="007E7F47"/>
    <w:rsid w:val="007F3AE4"/>
    <w:rsid w:val="007F5D52"/>
    <w:rsid w:val="008012FE"/>
    <w:rsid w:val="0080564F"/>
    <w:rsid w:val="00820735"/>
    <w:rsid w:val="008224E1"/>
    <w:rsid w:val="00825754"/>
    <w:rsid w:val="00830D2E"/>
    <w:rsid w:val="00833415"/>
    <w:rsid w:val="00833505"/>
    <w:rsid w:val="008414D2"/>
    <w:rsid w:val="00843A0C"/>
    <w:rsid w:val="00843A51"/>
    <w:rsid w:val="00844DF6"/>
    <w:rsid w:val="0085762D"/>
    <w:rsid w:val="0086304B"/>
    <w:rsid w:val="0087259D"/>
    <w:rsid w:val="0087512A"/>
    <w:rsid w:val="0087663A"/>
    <w:rsid w:val="008778F9"/>
    <w:rsid w:val="00890EB1"/>
    <w:rsid w:val="00891B72"/>
    <w:rsid w:val="008A6EB9"/>
    <w:rsid w:val="008B0B4F"/>
    <w:rsid w:val="008B0ED2"/>
    <w:rsid w:val="008B53DE"/>
    <w:rsid w:val="008B5F42"/>
    <w:rsid w:val="008D1A2F"/>
    <w:rsid w:val="008F7420"/>
    <w:rsid w:val="00900C51"/>
    <w:rsid w:val="00905BFB"/>
    <w:rsid w:val="00912679"/>
    <w:rsid w:val="00912BA0"/>
    <w:rsid w:val="009300A3"/>
    <w:rsid w:val="009357E8"/>
    <w:rsid w:val="00936EEB"/>
    <w:rsid w:val="009539FD"/>
    <w:rsid w:val="00960FF2"/>
    <w:rsid w:val="00966D15"/>
    <w:rsid w:val="00973751"/>
    <w:rsid w:val="00977034"/>
    <w:rsid w:val="00986EE1"/>
    <w:rsid w:val="009948B2"/>
    <w:rsid w:val="009A255C"/>
    <w:rsid w:val="009A594A"/>
    <w:rsid w:val="009B3DA1"/>
    <w:rsid w:val="009C7D35"/>
    <w:rsid w:val="009D25D0"/>
    <w:rsid w:val="009D3ECF"/>
    <w:rsid w:val="009E4184"/>
    <w:rsid w:val="009F15A7"/>
    <w:rsid w:val="009F2018"/>
    <w:rsid w:val="009F3F25"/>
    <w:rsid w:val="009F5520"/>
    <w:rsid w:val="009F7344"/>
    <w:rsid w:val="00A01BC1"/>
    <w:rsid w:val="00A05B16"/>
    <w:rsid w:val="00A115F8"/>
    <w:rsid w:val="00A14364"/>
    <w:rsid w:val="00A14502"/>
    <w:rsid w:val="00A157C9"/>
    <w:rsid w:val="00A17ADC"/>
    <w:rsid w:val="00A20E84"/>
    <w:rsid w:val="00A26A8B"/>
    <w:rsid w:val="00A300BB"/>
    <w:rsid w:val="00A320C2"/>
    <w:rsid w:val="00A3238C"/>
    <w:rsid w:val="00A34BD2"/>
    <w:rsid w:val="00A34C74"/>
    <w:rsid w:val="00A355AA"/>
    <w:rsid w:val="00A51FA2"/>
    <w:rsid w:val="00A64D3A"/>
    <w:rsid w:val="00A7083C"/>
    <w:rsid w:val="00A74301"/>
    <w:rsid w:val="00A763BD"/>
    <w:rsid w:val="00A841C5"/>
    <w:rsid w:val="00A84D9C"/>
    <w:rsid w:val="00A86630"/>
    <w:rsid w:val="00A9110A"/>
    <w:rsid w:val="00AA2FBF"/>
    <w:rsid w:val="00AA5596"/>
    <w:rsid w:val="00AB3AB3"/>
    <w:rsid w:val="00AB48BD"/>
    <w:rsid w:val="00AD17B5"/>
    <w:rsid w:val="00AF2197"/>
    <w:rsid w:val="00AF51EB"/>
    <w:rsid w:val="00AF6D91"/>
    <w:rsid w:val="00B001B6"/>
    <w:rsid w:val="00B00A6D"/>
    <w:rsid w:val="00B06FA5"/>
    <w:rsid w:val="00B07849"/>
    <w:rsid w:val="00B078EB"/>
    <w:rsid w:val="00B13650"/>
    <w:rsid w:val="00B165BF"/>
    <w:rsid w:val="00B23A48"/>
    <w:rsid w:val="00B249D3"/>
    <w:rsid w:val="00B25DE2"/>
    <w:rsid w:val="00B31F14"/>
    <w:rsid w:val="00B34CB7"/>
    <w:rsid w:val="00B4139F"/>
    <w:rsid w:val="00B424DC"/>
    <w:rsid w:val="00B42E30"/>
    <w:rsid w:val="00B47190"/>
    <w:rsid w:val="00B53DE8"/>
    <w:rsid w:val="00B53E54"/>
    <w:rsid w:val="00B565F0"/>
    <w:rsid w:val="00B709EE"/>
    <w:rsid w:val="00B723B1"/>
    <w:rsid w:val="00B76308"/>
    <w:rsid w:val="00B84625"/>
    <w:rsid w:val="00B96B52"/>
    <w:rsid w:val="00BA29FA"/>
    <w:rsid w:val="00BA2EA5"/>
    <w:rsid w:val="00BA5C01"/>
    <w:rsid w:val="00BB4DB4"/>
    <w:rsid w:val="00BD2846"/>
    <w:rsid w:val="00BE02E3"/>
    <w:rsid w:val="00BE2CF4"/>
    <w:rsid w:val="00BE6D5F"/>
    <w:rsid w:val="00C04D7A"/>
    <w:rsid w:val="00C13B28"/>
    <w:rsid w:val="00C15396"/>
    <w:rsid w:val="00C17E80"/>
    <w:rsid w:val="00C25793"/>
    <w:rsid w:val="00C348F3"/>
    <w:rsid w:val="00C360FE"/>
    <w:rsid w:val="00C37FF1"/>
    <w:rsid w:val="00C56D48"/>
    <w:rsid w:val="00C60678"/>
    <w:rsid w:val="00C61A93"/>
    <w:rsid w:val="00C66C92"/>
    <w:rsid w:val="00C71DDF"/>
    <w:rsid w:val="00C746A8"/>
    <w:rsid w:val="00C75ADD"/>
    <w:rsid w:val="00C836FE"/>
    <w:rsid w:val="00C84095"/>
    <w:rsid w:val="00C93509"/>
    <w:rsid w:val="00C93B4D"/>
    <w:rsid w:val="00C9605B"/>
    <w:rsid w:val="00C962AF"/>
    <w:rsid w:val="00C96A34"/>
    <w:rsid w:val="00CA1A90"/>
    <w:rsid w:val="00CA686B"/>
    <w:rsid w:val="00CB51C2"/>
    <w:rsid w:val="00CB7254"/>
    <w:rsid w:val="00CE6CC1"/>
    <w:rsid w:val="00CE747F"/>
    <w:rsid w:val="00CE7C78"/>
    <w:rsid w:val="00CF02CC"/>
    <w:rsid w:val="00CF1F84"/>
    <w:rsid w:val="00D03C58"/>
    <w:rsid w:val="00D077D6"/>
    <w:rsid w:val="00D14D70"/>
    <w:rsid w:val="00D17B8B"/>
    <w:rsid w:val="00D20EF8"/>
    <w:rsid w:val="00D24145"/>
    <w:rsid w:val="00D25185"/>
    <w:rsid w:val="00D270FB"/>
    <w:rsid w:val="00D4408D"/>
    <w:rsid w:val="00D51A4A"/>
    <w:rsid w:val="00D52B14"/>
    <w:rsid w:val="00D5440C"/>
    <w:rsid w:val="00D62AE5"/>
    <w:rsid w:val="00D6726A"/>
    <w:rsid w:val="00D678FD"/>
    <w:rsid w:val="00D719E9"/>
    <w:rsid w:val="00D71E86"/>
    <w:rsid w:val="00D80023"/>
    <w:rsid w:val="00D85FA1"/>
    <w:rsid w:val="00DA216A"/>
    <w:rsid w:val="00DB079C"/>
    <w:rsid w:val="00DC0C7A"/>
    <w:rsid w:val="00DD2851"/>
    <w:rsid w:val="00DD36C1"/>
    <w:rsid w:val="00DD535B"/>
    <w:rsid w:val="00DE4F7A"/>
    <w:rsid w:val="00DF0381"/>
    <w:rsid w:val="00E00293"/>
    <w:rsid w:val="00E023B3"/>
    <w:rsid w:val="00E03D27"/>
    <w:rsid w:val="00E10790"/>
    <w:rsid w:val="00E15216"/>
    <w:rsid w:val="00E16AB3"/>
    <w:rsid w:val="00E364B3"/>
    <w:rsid w:val="00E44470"/>
    <w:rsid w:val="00E50408"/>
    <w:rsid w:val="00E711A2"/>
    <w:rsid w:val="00E7358D"/>
    <w:rsid w:val="00E742E2"/>
    <w:rsid w:val="00E80EAB"/>
    <w:rsid w:val="00EA0483"/>
    <w:rsid w:val="00EA674E"/>
    <w:rsid w:val="00EA7002"/>
    <w:rsid w:val="00EB06A1"/>
    <w:rsid w:val="00EB1756"/>
    <w:rsid w:val="00ED3D84"/>
    <w:rsid w:val="00ED7583"/>
    <w:rsid w:val="00EE11CC"/>
    <w:rsid w:val="00EF309B"/>
    <w:rsid w:val="00EF3356"/>
    <w:rsid w:val="00F0065F"/>
    <w:rsid w:val="00F01CDF"/>
    <w:rsid w:val="00F138B2"/>
    <w:rsid w:val="00F214E7"/>
    <w:rsid w:val="00F2436B"/>
    <w:rsid w:val="00F2705A"/>
    <w:rsid w:val="00F27949"/>
    <w:rsid w:val="00F3307A"/>
    <w:rsid w:val="00F35177"/>
    <w:rsid w:val="00F35468"/>
    <w:rsid w:val="00F469BA"/>
    <w:rsid w:val="00F50914"/>
    <w:rsid w:val="00F52B63"/>
    <w:rsid w:val="00F61E4C"/>
    <w:rsid w:val="00F631D1"/>
    <w:rsid w:val="00F7515A"/>
    <w:rsid w:val="00F81D94"/>
    <w:rsid w:val="00F82E5B"/>
    <w:rsid w:val="00F84A95"/>
    <w:rsid w:val="00F94AE9"/>
    <w:rsid w:val="00F96D63"/>
    <w:rsid w:val="00FA359F"/>
    <w:rsid w:val="00FB1F6F"/>
    <w:rsid w:val="00FB20E3"/>
    <w:rsid w:val="00FB68D9"/>
    <w:rsid w:val="00FC02F1"/>
    <w:rsid w:val="00FC1DD8"/>
    <w:rsid w:val="00FC36D1"/>
    <w:rsid w:val="00FC5CD4"/>
    <w:rsid w:val="00FC6193"/>
    <w:rsid w:val="00FD227C"/>
    <w:rsid w:val="00FD23A2"/>
    <w:rsid w:val="00FD4D52"/>
    <w:rsid w:val="00FE0C10"/>
    <w:rsid w:val="00FF41E0"/>
    <w:rsid w:val="00FF4CDE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annotation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722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86F1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386F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Knoke@tecalor.de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alor.de/pressemeldu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0637-6577-4FE3-82F2-F743D8BA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4158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2021-11-04T11:07:00Z</dcterms:created>
  <dcterms:modified xsi:type="dcterms:W3CDTF">2021-11-09T11:12:00Z</dcterms:modified>
</cp:coreProperties>
</file>