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4E6DE5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2A45C4">
        <w:rPr>
          <w:rFonts w:ascii="Verdana" w:hAnsi="Verdana"/>
          <w:sz w:val="22"/>
        </w:rPr>
        <w:t>0</w:t>
      </w:r>
      <w:r w:rsidR="004E6DE5">
        <w:rPr>
          <w:rFonts w:ascii="Verdana" w:hAnsi="Verdana"/>
          <w:sz w:val="22"/>
        </w:rPr>
        <w:t>6</w:t>
      </w:r>
      <w:r w:rsidR="002A45C4">
        <w:rPr>
          <w:rFonts w:ascii="Verdana" w:hAnsi="Verdana"/>
          <w:sz w:val="22"/>
        </w:rPr>
        <w:t>/2020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E44470" w:rsidRPr="0031761E" w:rsidRDefault="00F70516" w:rsidP="003B09FE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BAFA-Förderung für Integralgeräte</w:t>
      </w:r>
    </w:p>
    <w:p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:rsidR="004C231C" w:rsidRPr="00FC6193" w:rsidRDefault="004C231C" w:rsidP="004C231C">
      <w:pPr>
        <w:rPr>
          <w:rStyle w:val="Fett"/>
        </w:rPr>
      </w:pPr>
    </w:p>
    <w:p w:rsidR="0031761E" w:rsidRDefault="00DF5415" w:rsidP="00EA7002">
      <w:pPr>
        <w:ind w:right="1842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>tecalor-</w:t>
      </w:r>
      <w:r w:rsidR="00F70516">
        <w:rPr>
          <w:rStyle w:val="Fett"/>
          <w:rFonts w:ascii="Verdana" w:hAnsi="Verdana" w:cs="Arial"/>
          <w:sz w:val="22"/>
          <w:szCs w:val="22"/>
        </w:rPr>
        <w:t>Wärmepumpen-Kompaktgerät</w:t>
      </w:r>
      <w:r w:rsidR="00A55864">
        <w:rPr>
          <w:rStyle w:val="Fett"/>
          <w:rFonts w:ascii="Verdana" w:hAnsi="Verdana" w:cs="Arial"/>
          <w:sz w:val="22"/>
          <w:szCs w:val="22"/>
        </w:rPr>
        <w:t>e</w:t>
      </w:r>
      <w:r w:rsidR="00F70516">
        <w:rPr>
          <w:rStyle w:val="Fett"/>
          <w:rFonts w:ascii="Verdana" w:hAnsi="Verdana" w:cs="Arial"/>
          <w:sz w:val="22"/>
          <w:szCs w:val="22"/>
        </w:rPr>
        <w:t xml:space="preserve"> mit integrierter Lüftung und Wärmerückgewinnung </w:t>
      </w:r>
      <w:r w:rsidR="00A55864">
        <w:rPr>
          <w:rStyle w:val="Fett"/>
          <w:rFonts w:ascii="Verdana" w:hAnsi="Verdana" w:cs="Arial"/>
          <w:sz w:val="22"/>
          <w:szCs w:val="22"/>
        </w:rPr>
        <w:t>werden</w:t>
      </w:r>
      <w:r>
        <w:rPr>
          <w:rStyle w:val="Fett"/>
          <w:rFonts w:ascii="Verdana" w:hAnsi="Verdana" w:cs="Arial"/>
          <w:sz w:val="22"/>
          <w:szCs w:val="22"/>
        </w:rPr>
        <w:t xml:space="preserve"> vom BAFA gefördert</w:t>
      </w:r>
      <w:r w:rsidR="004D632E">
        <w:rPr>
          <w:rStyle w:val="Fett"/>
          <w:rFonts w:ascii="Verdana" w:hAnsi="Verdana" w:cs="Arial"/>
          <w:sz w:val="22"/>
          <w:szCs w:val="22"/>
        </w:rPr>
        <w:t xml:space="preserve"> – inklusive Lüftungsleitungen</w:t>
      </w:r>
    </w:p>
    <w:p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:rsidR="0087512A" w:rsidRDefault="002C4402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 xml:space="preserve">Dass es </w:t>
      </w:r>
      <w:r w:rsidR="004D632E">
        <w:rPr>
          <w:rFonts w:ascii="Verdana" w:hAnsi="Verdana" w:cs="Arial"/>
          <w:spacing w:val="-2"/>
          <w:sz w:val="22"/>
          <w:szCs w:val="22"/>
        </w:rPr>
        <w:t>4</w:t>
      </w:r>
      <w:r>
        <w:rPr>
          <w:rFonts w:ascii="Verdana" w:hAnsi="Verdana" w:cs="Arial"/>
          <w:spacing w:val="-2"/>
          <w:sz w:val="22"/>
          <w:szCs w:val="22"/>
        </w:rPr>
        <w:t xml:space="preserve">5 Prozent der Investitionskosten als Zuschuss für den Ersatz einer alten </w:t>
      </w:r>
      <w:r w:rsidR="004D632E">
        <w:rPr>
          <w:rFonts w:ascii="Verdana" w:hAnsi="Verdana" w:cs="Arial"/>
          <w:spacing w:val="-2"/>
          <w:sz w:val="22"/>
          <w:szCs w:val="22"/>
        </w:rPr>
        <w:t>Ölh</w:t>
      </w:r>
      <w:r>
        <w:rPr>
          <w:rFonts w:ascii="Verdana" w:hAnsi="Verdana" w:cs="Arial"/>
          <w:spacing w:val="-2"/>
          <w:sz w:val="22"/>
          <w:szCs w:val="22"/>
        </w:rPr>
        <w:t>eizung durch eine Wärmepumpe gibt, dürfte inzwischen allgemein bekannt sein. Setzt man jedoch ein Integralgerät</w:t>
      </w:r>
      <w:r w:rsidR="004D632E">
        <w:rPr>
          <w:rFonts w:ascii="Verdana" w:hAnsi="Verdana" w:cs="Arial"/>
          <w:spacing w:val="-2"/>
          <w:sz w:val="22"/>
          <w:szCs w:val="22"/>
        </w:rPr>
        <w:t xml:space="preserve"> aus der </w:t>
      </w:r>
      <w:r w:rsidR="00A7083C">
        <w:rPr>
          <w:rFonts w:ascii="Verdana" w:hAnsi="Verdana" w:cs="Arial"/>
          <w:spacing w:val="-2"/>
          <w:sz w:val="22"/>
          <w:szCs w:val="22"/>
        </w:rPr>
        <w:t>THZ</w:t>
      </w:r>
      <w:r w:rsidR="004D632E">
        <w:rPr>
          <w:rFonts w:ascii="Verdana" w:hAnsi="Verdana" w:cs="Arial"/>
          <w:spacing w:val="-2"/>
          <w:sz w:val="22"/>
          <w:szCs w:val="22"/>
        </w:rPr>
        <w:t>-Serie</w:t>
      </w:r>
      <w:r w:rsidR="00F70516">
        <w:rPr>
          <w:rFonts w:ascii="Verdana" w:hAnsi="Verdana" w:cs="Arial"/>
          <w:spacing w:val="-2"/>
          <w:sz w:val="22"/>
          <w:szCs w:val="22"/>
        </w:rPr>
        <w:t xml:space="preserve"> </w:t>
      </w:r>
      <w:r w:rsidR="00A7083C">
        <w:rPr>
          <w:rFonts w:ascii="Verdana" w:hAnsi="Verdana" w:cs="Arial"/>
          <w:spacing w:val="-2"/>
          <w:sz w:val="22"/>
          <w:szCs w:val="22"/>
        </w:rPr>
        <w:t>von tecalor</w:t>
      </w:r>
      <w:r>
        <w:rPr>
          <w:rFonts w:ascii="Verdana" w:hAnsi="Verdana" w:cs="Arial"/>
          <w:spacing w:val="-2"/>
          <w:sz w:val="22"/>
          <w:szCs w:val="22"/>
        </w:rPr>
        <w:t xml:space="preserve"> mit Wärmepumpe und Lüftung mit Wärmerückgewinnung ein, ist auch die </w:t>
      </w:r>
      <w:r w:rsidR="004D632E">
        <w:rPr>
          <w:rFonts w:ascii="Verdana" w:hAnsi="Verdana" w:cs="Arial"/>
          <w:spacing w:val="-2"/>
          <w:sz w:val="22"/>
          <w:szCs w:val="22"/>
        </w:rPr>
        <w:t>komplette Wohnungslüftung</w:t>
      </w:r>
      <w:r>
        <w:rPr>
          <w:rFonts w:ascii="Verdana" w:hAnsi="Verdana" w:cs="Arial"/>
          <w:spacing w:val="-2"/>
          <w:sz w:val="22"/>
          <w:szCs w:val="22"/>
        </w:rPr>
        <w:t xml:space="preserve"> förderfähig nach Marktanreizprogramm (MAP) des Bundesamts für Wirtschaft und Ausfuhrkontrolle (BAFA). </w:t>
      </w:r>
      <w:r w:rsidR="004A2F4F">
        <w:rPr>
          <w:rFonts w:ascii="Verdana" w:hAnsi="Verdana" w:cs="Arial"/>
          <w:spacing w:val="-2"/>
          <w:sz w:val="22"/>
          <w:szCs w:val="22"/>
        </w:rPr>
        <w:t>In der</w:t>
      </w:r>
      <w:r>
        <w:rPr>
          <w:rFonts w:ascii="Verdana" w:hAnsi="Verdana" w:cs="Arial"/>
          <w:spacing w:val="-2"/>
          <w:sz w:val="22"/>
          <w:szCs w:val="22"/>
        </w:rPr>
        <w:t xml:space="preserve"> BAFA-</w:t>
      </w:r>
      <w:r w:rsidR="00F70516">
        <w:rPr>
          <w:rFonts w:ascii="Verdana" w:hAnsi="Verdana" w:cs="Arial"/>
          <w:spacing w:val="-2"/>
          <w:sz w:val="22"/>
          <w:szCs w:val="22"/>
        </w:rPr>
        <w:t>Liste</w:t>
      </w:r>
      <w:r>
        <w:rPr>
          <w:rFonts w:ascii="Verdana" w:hAnsi="Verdana" w:cs="Arial"/>
          <w:spacing w:val="-2"/>
          <w:sz w:val="22"/>
          <w:szCs w:val="22"/>
        </w:rPr>
        <w:t xml:space="preserve"> vom </w:t>
      </w:r>
      <w:r w:rsidR="004D632E">
        <w:rPr>
          <w:rFonts w:ascii="Verdana" w:hAnsi="Verdana" w:cs="Arial"/>
          <w:spacing w:val="-2"/>
          <w:sz w:val="22"/>
          <w:szCs w:val="22"/>
        </w:rPr>
        <w:t>12. Juni</w:t>
      </w:r>
      <w:r w:rsidR="00F70516">
        <w:rPr>
          <w:rFonts w:ascii="Verdana" w:hAnsi="Verdana" w:cs="Arial"/>
          <w:spacing w:val="-2"/>
          <w:sz w:val="22"/>
          <w:szCs w:val="22"/>
        </w:rPr>
        <w:t xml:space="preserve"> 2020 </w:t>
      </w:r>
      <w:r w:rsidR="004D632E">
        <w:rPr>
          <w:rFonts w:ascii="Verdana" w:hAnsi="Verdana" w:cs="Arial"/>
          <w:spacing w:val="-2"/>
          <w:sz w:val="22"/>
          <w:szCs w:val="22"/>
        </w:rPr>
        <w:t xml:space="preserve">werden sowohl </w:t>
      </w:r>
      <w:r w:rsidR="00F70516">
        <w:rPr>
          <w:rFonts w:ascii="Verdana" w:hAnsi="Verdana" w:cs="Arial"/>
          <w:spacing w:val="-2"/>
          <w:sz w:val="22"/>
          <w:szCs w:val="22"/>
        </w:rPr>
        <w:t xml:space="preserve">die THZ 5.5 </w:t>
      </w:r>
      <w:r w:rsidR="00A55864">
        <w:rPr>
          <w:rFonts w:ascii="Verdana" w:hAnsi="Verdana" w:cs="Arial"/>
          <w:spacing w:val="-2"/>
          <w:sz w:val="22"/>
          <w:szCs w:val="22"/>
        </w:rPr>
        <w:t>als auch die T</w:t>
      </w:r>
      <w:r w:rsidR="004D632E">
        <w:rPr>
          <w:rFonts w:ascii="Verdana" w:hAnsi="Verdana" w:cs="Arial"/>
          <w:spacing w:val="-2"/>
          <w:sz w:val="22"/>
          <w:szCs w:val="22"/>
        </w:rPr>
        <w:t xml:space="preserve">HZ </w:t>
      </w:r>
      <w:r w:rsidR="00A55864">
        <w:rPr>
          <w:rFonts w:ascii="Verdana" w:hAnsi="Verdana" w:cs="Arial"/>
          <w:spacing w:val="-2"/>
          <w:sz w:val="22"/>
          <w:szCs w:val="22"/>
        </w:rPr>
        <w:t xml:space="preserve">8.5 flex und die THZ 504 </w:t>
      </w:r>
      <w:r w:rsidR="005255B4">
        <w:rPr>
          <w:rFonts w:ascii="Verdana" w:hAnsi="Verdana" w:cs="Arial"/>
          <w:spacing w:val="-2"/>
          <w:sz w:val="22"/>
          <w:szCs w:val="22"/>
        </w:rPr>
        <w:t xml:space="preserve">von tecalor </w:t>
      </w:r>
      <w:r w:rsidR="00A55864">
        <w:rPr>
          <w:rFonts w:ascii="Verdana" w:hAnsi="Verdana" w:cs="Arial"/>
          <w:spacing w:val="-2"/>
          <w:sz w:val="22"/>
          <w:szCs w:val="22"/>
        </w:rPr>
        <w:t xml:space="preserve">als förderfähige </w:t>
      </w:r>
      <w:r w:rsidR="00F70516">
        <w:rPr>
          <w:rFonts w:ascii="Verdana" w:hAnsi="Verdana" w:cs="Arial"/>
          <w:spacing w:val="-2"/>
          <w:sz w:val="22"/>
          <w:szCs w:val="22"/>
        </w:rPr>
        <w:t>Kompaktgerät</w:t>
      </w:r>
      <w:r w:rsidR="00A55864">
        <w:rPr>
          <w:rFonts w:ascii="Verdana" w:hAnsi="Verdana" w:cs="Arial"/>
          <w:spacing w:val="-2"/>
          <w:sz w:val="22"/>
          <w:szCs w:val="22"/>
        </w:rPr>
        <w:t xml:space="preserve">e mit der Kombination aus </w:t>
      </w:r>
      <w:r w:rsidR="00F70516" w:rsidRPr="00F70516">
        <w:rPr>
          <w:rFonts w:ascii="Verdana" w:hAnsi="Verdana" w:cs="Arial"/>
          <w:spacing w:val="-2"/>
          <w:sz w:val="22"/>
          <w:szCs w:val="22"/>
        </w:rPr>
        <w:t xml:space="preserve">Wärmepumpe </w:t>
      </w:r>
      <w:r w:rsidR="00A55864">
        <w:rPr>
          <w:rFonts w:ascii="Verdana" w:hAnsi="Verdana" w:cs="Arial"/>
          <w:spacing w:val="-2"/>
          <w:sz w:val="22"/>
          <w:szCs w:val="22"/>
        </w:rPr>
        <w:t>und Lüftungsanlage</w:t>
      </w:r>
      <w:r w:rsidR="00F70516" w:rsidRPr="00F70516">
        <w:rPr>
          <w:rFonts w:ascii="Verdana" w:hAnsi="Verdana" w:cs="Arial"/>
          <w:spacing w:val="-2"/>
          <w:sz w:val="22"/>
          <w:szCs w:val="22"/>
        </w:rPr>
        <w:t xml:space="preserve"> mit Wärmerückgewinnung </w:t>
      </w:r>
      <w:r w:rsidR="004A2F4F">
        <w:rPr>
          <w:rFonts w:ascii="Verdana" w:hAnsi="Verdana" w:cs="Arial"/>
          <w:spacing w:val="-2"/>
          <w:sz w:val="22"/>
          <w:szCs w:val="22"/>
        </w:rPr>
        <w:t>geführt</w:t>
      </w:r>
      <w:r>
        <w:rPr>
          <w:rFonts w:ascii="Verdana" w:hAnsi="Verdana" w:cs="Arial"/>
          <w:spacing w:val="-2"/>
          <w:sz w:val="22"/>
          <w:szCs w:val="22"/>
        </w:rPr>
        <w:t>.</w:t>
      </w:r>
    </w:p>
    <w:p w:rsidR="002C4402" w:rsidRDefault="002C4402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A7083C" w:rsidRPr="00A7083C" w:rsidRDefault="00A7083C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pacing w:val="-2"/>
          <w:sz w:val="22"/>
          <w:szCs w:val="22"/>
        </w:rPr>
      </w:pPr>
      <w:r w:rsidRPr="00A7083C">
        <w:rPr>
          <w:rFonts w:ascii="Verdana" w:hAnsi="Verdana" w:cs="Arial"/>
          <w:b/>
          <w:spacing w:val="-2"/>
          <w:sz w:val="22"/>
          <w:szCs w:val="22"/>
        </w:rPr>
        <w:t>Erst beantragen, dann kaufen</w:t>
      </w:r>
    </w:p>
    <w:p w:rsidR="002C4402" w:rsidRDefault="00C84095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 xml:space="preserve">Der Antrag auf Förderung muss vor Abschluss des Lieferungs- oder Leistungsvertrags erfolgen. Beratungs- und Planungsleistung dürfen jedoch bereits vor Antragstellung erbracht werden. </w:t>
      </w:r>
      <w:r w:rsidR="00A7083C">
        <w:rPr>
          <w:rFonts w:ascii="Verdana" w:hAnsi="Verdana" w:cs="Arial"/>
          <w:spacing w:val="-2"/>
          <w:sz w:val="22"/>
          <w:szCs w:val="22"/>
        </w:rPr>
        <w:t>Bezuschusst werden</w:t>
      </w:r>
      <w:r>
        <w:rPr>
          <w:rFonts w:ascii="Verdana" w:hAnsi="Verdana" w:cs="Arial"/>
          <w:spacing w:val="-2"/>
          <w:sz w:val="22"/>
          <w:szCs w:val="22"/>
        </w:rPr>
        <w:t xml:space="preserve"> alle Kosten der Heizung bis zum Anschlusspunkt der Wärmeverteilung.</w:t>
      </w:r>
    </w:p>
    <w:p w:rsidR="00F27949" w:rsidRDefault="00F27949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A7083C" w:rsidRPr="00A7083C" w:rsidRDefault="00A7083C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pacing w:val="-2"/>
          <w:sz w:val="22"/>
          <w:szCs w:val="22"/>
        </w:rPr>
      </w:pPr>
      <w:r w:rsidRPr="00A7083C">
        <w:rPr>
          <w:rFonts w:ascii="Verdana" w:hAnsi="Verdana" w:cs="Arial"/>
          <w:b/>
          <w:spacing w:val="-2"/>
          <w:sz w:val="22"/>
          <w:szCs w:val="22"/>
        </w:rPr>
        <w:t>Auch Lüftungsleitungen und -zubehör förderfähig</w:t>
      </w:r>
    </w:p>
    <w:p w:rsidR="00F27949" w:rsidRDefault="00F27949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 xml:space="preserve">Als Wärmeerzeuger werden vom BAFA ausdrücklich „Wärmepumpen-Anlagen kombiniert mit Lüftungsgeräten inklusive Wärmerückgewinnung inklusive erforderlicher Lüftungsleitungen und Lüftungszubehör“ aufgeführt. Damit </w:t>
      </w:r>
      <w:r>
        <w:rPr>
          <w:rFonts w:ascii="Verdana" w:hAnsi="Verdana" w:cs="Arial"/>
          <w:spacing w:val="-2"/>
          <w:sz w:val="22"/>
          <w:szCs w:val="22"/>
        </w:rPr>
        <w:lastRenderedPageBreak/>
        <w:t xml:space="preserve">sind die Integralgeräte der THZ-Serie von tecalor </w:t>
      </w:r>
      <w:r w:rsidR="005255B4">
        <w:rPr>
          <w:rFonts w:ascii="Verdana" w:hAnsi="Verdana" w:cs="Arial"/>
          <w:spacing w:val="-2"/>
          <w:sz w:val="22"/>
          <w:szCs w:val="22"/>
        </w:rPr>
        <w:t xml:space="preserve">auch </w:t>
      </w:r>
      <w:r>
        <w:rPr>
          <w:rFonts w:ascii="Verdana" w:hAnsi="Verdana" w:cs="Arial"/>
          <w:spacing w:val="-2"/>
          <w:sz w:val="22"/>
          <w:szCs w:val="22"/>
        </w:rPr>
        <w:t xml:space="preserve">in Neubauten voll förderfähig </w:t>
      </w:r>
      <w:r w:rsidR="005255B4">
        <w:rPr>
          <w:rFonts w:ascii="Verdana" w:hAnsi="Verdana" w:cs="Arial"/>
          <w:spacing w:val="-2"/>
          <w:sz w:val="22"/>
          <w:szCs w:val="22"/>
        </w:rPr>
        <w:t>– und zwar mit</w:t>
      </w:r>
      <w:r>
        <w:rPr>
          <w:rFonts w:ascii="Verdana" w:hAnsi="Verdana" w:cs="Arial"/>
          <w:spacing w:val="-2"/>
          <w:sz w:val="22"/>
          <w:szCs w:val="22"/>
        </w:rPr>
        <w:t xml:space="preserve"> 35 Prozent inklusive </w:t>
      </w:r>
      <w:r w:rsidR="00F70516">
        <w:rPr>
          <w:rFonts w:ascii="Verdana" w:hAnsi="Verdana" w:cs="Arial"/>
          <w:spacing w:val="-2"/>
          <w:sz w:val="22"/>
          <w:szCs w:val="22"/>
        </w:rPr>
        <w:t xml:space="preserve">komplettem </w:t>
      </w:r>
      <w:r>
        <w:rPr>
          <w:rFonts w:ascii="Verdana" w:hAnsi="Verdana" w:cs="Arial"/>
          <w:spacing w:val="-2"/>
          <w:sz w:val="22"/>
          <w:szCs w:val="22"/>
        </w:rPr>
        <w:t>Luftverteilsystem.</w:t>
      </w:r>
    </w:p>
    <w:p w:rsidR="00F27949" w:rsidRDefault="00F27949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A7083C" w:rsidRPr="00A7083C" w:rsidRDefault="00A7083C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pacing w:val="-2"/>
          <w:sz w:val="22"/>
          <w:szCs w:val="22"/>
        </w:rPr>
      </w:pPr>
      <w:r w:rsidRPr="00A7083C">
        <w:rPr>
          <w:rFonts w:ascii="Verdana" w:hAnsi="Verdana" w:cs="Arial"/>
          <w:b/>
          <w:spacing w:val="-2"/>
          <w:sz w:val="22"/>
          <w:szCs w:val="22"/>
        </w:rPr>
        <w:t>Kühl</w:t>
      </w:r>
      <w:r>
        <w:rPr>
          <w:rFonts w:ascii="Verdana" w:hAnsi="Verdana" w:cs="Arial"/>
          <w:b/>
          <w:spacing w:val="-2"/>
          <w:sz w:val="22"/>
          <w:szCs w:val="22"/>
        </w:rPr>
        <w:t>ung</w:t>
      </w:r>
      <w:r w:rsidRPr="00A7083C">
        <w:rPr>
          <w:rFonts w:ascii="Verdana" w:hAnsi="Verdana" w:cs="Arial"/>
          <w:b/>
          <w:spacing w:val="-2"/>
          <w:sz w:val="22"/>
          <w:szCs w:val="22"/>
        </w:rPr>
        <w:t xml:space="preserve"> gleich mit</w:t>
      </w:r>
      <w:r>
        <w:rPr>
          <w:rFonts w:ascii="Verdana" w:hAnsi="Verdana" w:cs="Arial"/>
          <w:b/>
          <w:spacing w:val="-2"/>
          <w:sz w:val="22"/>
          <w:szCs w:val="22"/>
        </w:rPr>
        <w:t xml:space="preserve"> installieren</w:t>
      </w:r>
    </w:p>
    <w:p w:rsidR="00A55864" w:rsidRDefault="00BE668F" w:rsidP="00A5586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>„</w:t>
      </w:r>
      <w:r w:rsidR="00A55864">
        <w:rPr>
          <w:rFonts w:ascii="Verdana" w:hAnsi="Verdana" w:cs="Arial"/>
          <w:spacing w:val="-2"/>
          <w:sz w:val="22"/>
          <w:szCs w:val="22"/>
        </w:rPr>
        <w:t xml:space="preserve">Wer einen Schritt weiterdenkt, wird sich für das innovativste Modell der Serie, </w:t>
      </w:r>
      <w:r>
        <w:rPr>
          <w:rFonts w:ascii="Verdana" w:hAnsi="Verdana" w:cs="Arial"/>
          <w:spacing w:val="-2"/>
          <w:sz w:val="22"/>
          <w:szCs w:val="22"/>
        </w:rPr>
        <w:t>unser</w:t>
      </w:r>
      <w:r w:rsidR="00A55864">
        <w:rPr>
          <w:rFonts w:ascii="Verdana" w:hAnsi="Verdana" w:cs="Arial"/>
          <w:spacing w:val="-2"/>
          <w:sz w:val="22"/>
          <w:szCs w:val="22"/>
        </w:rPr>
        <w:t xml:space="preserve"> Integralsystem THZ 504, entscheiden</w:t>
      </w:r>
      <w:r>
        <w:rPr>
          <w:rFonts w:ascii="Verdana" w:hAnsi="Verdana" w:cs="Arial"/>
          <w:spacing w:val="-2"/>
          <w:sz w:val="22"/>
          <w:szCs w:val="22"/>
        </w:rPr>
        <w:t>“, betont Karl Stuhlenmiller, Geschäftsführer des Haustechnikspezialisten tecalor.</w:t>
      </w:r>
      <w:r w:rsidR="00A55864">
        <w:rPr>
          <w:rFonts w:ascii="Verdana" w:hAnsi="Verdana" w:cs="Arial"/>
          <w:spacing w:val="-2"/>
          <w:sz w:val="22"/>
          <w:szCs w:val="22"/>
        </w:rPr>
        <w:t xml:space="preserve"> Es verfügt nicht nur über die höchste Energieeffizienzklasse sondern auch über die umfangreichste Ausstattung – unter anderem mit einer Kühlfunktion für die immer heißeren Sommer. Die Wärmepumpe des THZ 504 ist für Vorlauftemperaturen von 60 Grad ausgelegt und das Gerät lässt sich mit einer Solarthermie-Anlage kombinieren. Die für die Förderung geforderte Kopplung von Wärmepumpe und Lüftung ist mit dem Integralsystem THZ 504 gewährleistet.</w:t>
      </w:r>
    </w:p>
    <w:p w:rsidR="00F27949" w:rsidRDefault="00F27949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E44470" w:rsidRDefault="00E44470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E44470" w:rsidRDefault="00E44470" w:rsidP="00AB48B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BE668F">
        <w:rPr>
          <w:rFonts w:ascii="Verdana" w:hAnsi="Verdana" w:cs="Arial"/>
          <w:sz w:val="22"/>
          <w:szCs w:val="22"/>
        </w:rPr>
        <w:t>2.0</w:t>
      </w:r>
      <w:r w:rsidR="0040288F">
        <w:rPr>
          <w:rFonts w:ascii="Verdana" w:hAnsi="Verdana" w:cs="Arial"/>
          <w:sz w:val="22"/>
          <w:szCs w:val="22"/>
        </w:rPr>
        <w:t>38</w:t>
      </w:r>
      <w:r w:rsidR="0087512A">
        <w:rPr>
          <w:rFonts w:ascii="Verdana" w:hAnsi="Verdana" w:cs="Arial"/>
          <w:sz w:val="22"/>
          <w:szCs w:val="22"/>
        </w:rPr>
        <w:t xml:space="preserve"> Z.i.L.</w:t>
      </w:r>
    </w:p>
    <w:p w:rsidR="003E1701" w:rsidRDefault="003E1701">
      <w:pPr>
        <w:rPr>
          <w:rFonts w:ascii="Verdana" w:hAnsi="Verdana" w:cs="Arial"/>
          <w:b/>
          <w:sz w:val="22"/>
          <w:szCs w:val="22"/>
        </w:rPr>
      </w:pPr>
    </w:p>
    <w:p w:rsidR="00FF41E0" w:rsidRDefault="00FF41E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E15216" w:rsidRDefault="00E15216">
      <w:pPr>
        <w:rPr>
          <w:rFonts w:ascii="Verdana" w:hAnsi="Verdana" w:cs="Arial"/>
          <w:b/>
          <w:sz w:val="21"/>
          <w:szCs w:val="21"/>
        </w:rPr>
      </w:pPr>
    </w:p>
    <w:p w:rsidR="00230848" w:rsidRDefault="007D344E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4305869" cy="2874294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11" cy="28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48" w:rsidRPr="00230848" w:rsidRDefault="00230848" w:rsidP="005501B2">
      <w:pPr>
        <w:ind w:right="2268"/>
        <w:rPr>
          <w:rFonts w:ascii="Verdana" w:hAnsi="Verdana" w:cs="Arial"/>
          <w:sz w:val="21"/>
          <w:szCs w:val="21"/>
        </w:rPr>
      </w:pPr>
      <w:r w:rsidRPr="00230848">
        <w:rPr>
          <w:rFonts w:ascii="Verdana" w:hAnsi="Verdana" w:cs="Arial"/>
          <w:sz w:val="21"/>
          <w:szCs w:val="21"/>
        </w:rPr>
        <w:t>tecalor_Pressebild_</w:t>
      </w:r>
      <w:r w:rsidR="00A7083C">
        <w:rPr>
          <w:rFonts w:ascii="Verdana" w:hAnsi="Verdana" w:cs="Arial"/>
          <w:sz w:val="21"/>
          <w:szCs w:val="21"/>
        </w:rPr>
        <w:t>THZ_</w:t>
      </w:r>
      <w:r w:rsidR="00A55864">
        <w:rPr>
          <w:rFonts w:ascii="Verdana" w:hAnsi="Verdana" w:cs="Arial"/>
          <w:sz w:val="21"/>
          <w:szCs w:val="21"/>
        </w:rPr>
        <w:t>504</w:t>
      </w:r>
      <w:r w:rsidRPr="00230848">
        <w:rPr>
          <w:rFonts w:ascii="Verdana" w:hAnsi="Verdana" w:cs="Arial"/>
          <w:sz w:val="21"/>
          <w:szCs w:val="21"/>
        </w:rPr>
        <w:t>.jpg</w:t>
      </w:r>
    </w:p>
    <w:p w:rsidR="00230848" w:rsidRDefault="00230848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:rsidR="00E15216" w:rsidRDefault="00A7083C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Im Integralsystem THZ </w:t>
      </w:r>
      <w:r w:rsidR="00A55864">
        <w:rPr>
          <w:rFonts w:ascii="Verdana" w:hAnsi="Verdana" w:cs="Arial"/>
          <w:b/>
          <w:sz w:val="21"/>
          <w:szCs w:val="21"/>
        </w:rPr>
        <w:t>504</w:t>
      </w:r>
      <w:r>
        <w:rPr>
          <w:rFonts w:ascii="Verdana" w:hAnsi="Verdana" w:cs="Arial"/>
          <w:b/>
          <w:sz w:val="21"/>
          <w:szCs w:val="21"/>
        </w:rPr>
        <w:t xml:space="preserve"> von tecalor werden Wärmepumpe und Lüftung regelungstechnisch gemeinsam betrieben, deshalb gibt es die staatliche Förderung </w:t>
      </w:r>
      <w:r w:rsidR="00A55864">
        <w:rPr>
          <w:rFonts w:ascii="Verdana" w:hAnsi="Verdana" w:cs="Arial"/>
          <w:b/>
          <w:sz w:val="21"/>
          <w:szCs w:val="21"/>
        </w:rPr>
        <w:t xml:space="preserve">von </w:t>
      </w:r>
      <w:r w:rsidR="007D344E">
        <w:rPr>
          <w:rFonts w:ascii="Verdana" w:hAnsi="Verdana" w:cs="Arial"/>
          <w:b/>
          <w:sz w:val="21"/>
          <w:szCs w:val="21"/>
        </w:rPr>
        <w:t xml:space="preserve">35 </w:t>
      </w:r>
      <w:r w:rsidR="00A55864">
        <w:rPr>
          <w:rFonts w:ascii="Verdana" w:hAnsi="Verdana" w:cs="Arial"/>
          <w:b/>
          <w:sz w:val="21"/>
          <w:szCs w:val="21"/>
        </w:rPr>
        <w:t xml:space="preserve">% </w:t>
      </w:r>
      <w:r w:rsidR="004A2F4F">
        <w:rPr>
          <w:rFonts w:ascii="Verdana" w:hAnsi="Verdana" w:cs="Arial"/>
          <w:b/>
          <w:sz w:val="21"/>
          <w:szCs w:val="21"/>
        </w:rPr>
        <w:t>auch</w:t>
      </w:r>
      <w:r>
        <w:rPr>
          <w:rFonts w:ascii="Verdana" w:hAnsi="Verdana" w:cs="Arial"/>
          <w:b/>
          <w:sz w:val="21"/>
          <w:szCs w:val="21"/>
        </w:rPr>
        <w:t xml:space="preserve"> für die Lüftungsleitungen</w:t>
      </w:r>
    </w:p>
    <w:p w:rsidR="00396615" w:rsidRDefault="00396615">
      <w:pPr>
        <w:rPr>
          <w:rFonts w:ascii="Verdana" w:hAnsi="Verdana" w:cs="Arial"/>
          <w:sz w:val="22"/>
          <w:szCs w:val="22"/>
        </w:rPr>
      </w:pPr>
    </w:p>
    <w:p w:rsidR="007D344E" w:rsidRDefault="007D344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4129926" cy="2756847"/>
            <wp:effectExtent l="19050" t="0" r="3924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7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4E" w:rsidRDefault="007D344E">
      <w:pPr>
        <w:rPr>
          <w:rFonts w:ascii="Verdana" w:hAnsi="Verdana" w:cs="Arial"/>
          <w:sz w:val="22"/>
          <w:szCs w:val="22"/>
        </w:rPr>
      </w:pPr>
      <w:r w:rsidRPr="007D344E">
        <w:rPr>
          <w:rFonts w:ascii="Verdana" w:hAnsi="Verdana" w:cs="Arial"/>
          <w:sz w:val="22"/>
          <w:szCs w:val="22"/>
        </w:rPr>
        <w:t>tecalor_Pressebild_Geschaeft</w:t>
      </w:r>
      <w:r w:rsidR="00941209">
        <w:rPr>
          <w:rFonts w:ascii="Verdana" w:hAnsi="Verdana" w:cs="Arial"/>
          <w:sz w:val="22"/>
          <w:szCs w:val="22"/>
        </w:rPr>
        <w:t>s</w:t>
      </w:r>
      <w:bookmarkStart w:id="0" w:name="_GoBack"/>
      <w:bookmarkEnd w:id="0"/>
      <w:r w:rsidRPr="007D344E">
        <w:rPr>
          <w:rFonts w:ascii="Verdana" w:hAnsi="Verdana" w:cs="Arial"/>
          <w:sz w:val="22"/>
          <w:szCs w:val="22"/>
        </w:rPr>
        <w:t>fuehrer_Karl-Stuhlenmiller.jpg</w:t>
      </w:r>
    </w:p>
    <w:p w:rsidR="007D344E" w:rsidRDefault="007D344E">
      <w:pPr>
        <w:rPr>
          <w:rFonts w:ascii="Verdana" w:hAnsi="Verdana" w:cs="Arial"/>
          <w:sz w:val="22"/>
          <w:szCs w:val="22"/>
        </w:rPr>
      </w:pPr>
    </w:p>
    <w:p w:rsidR="00D756D0" w:rsidRDefault="00A5048B" w:rsidP="00D756D0">
      <w:pPr>
        <w:ind w:right="2268"/>
        <w:rPr>
          <w:rFonts w:ascii="Verdana" w:hAnsi="Verdana" w:cs="Arial"/>
          <w:b/>
          <w:sz w:val="21"/>
          <w:szCs w:val="21"/>
        </w:rPr>
      </w:pPr>
      <w:r w:rsidRPr="00A5048B">
        <w:rPr>
          <w:rFonts w:ascii="Verdana" w:hAnsi="Verdana" w:cs="Arial"/>
          <w:b/>
          <w:sz w:val="21"/>
          <w:szCs w:val="21"/>
        </w:rPr>
        <w:t xml:space="preserve">„Wer weiterdenkt, wird sich für unser Integralsystem THZ 504 entscheiden, weil er so die Kühlfunktion gleich mit gefördert bekommt“, betont Karl Stuhlenmiller, Geschäftsführer tecalor. </w:t>
      </w:r>
    </w:p>
    <w:p w:rsidR="001C51A4" w:rsidRDefault="00396615" w:rsidP="00D756D0">
      <w:pPr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9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tecalor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0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D0" w:rsidRDefault="00D756D0" w:rsidP="004C231C">
      <w:r>
        <w:separator/>
      </w:r>
    </w:p>
  </w:endnote>
  <w:endnote w:type="continuationSeparator" w:id="0">
    <w:p w:rsidR="00D756D0" w:rsidRDefault="00D756D0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D0" w:rsidRDefault="00D756D0" w:rsidP="004C231C">
      <w:r>
        <w:separator/>
      </w:r>
    </w:p>
  </w:footnote>
  <w:footnote w:type="continuationSeparator" w:id="0">
    <w:p w:rsidR="00D756D0" w:rsidRDefault="00D756D0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0" w:rsidRDefault="00D756D0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564A"/>
    <w:rsid w:val="000062FD"/>
    <w:rsid w:val="0002419D"/>
    <w:rsid w:val="00030376"/>
    <w:rsid w:val="0003085B"/>
    <w:rsid w:val="00032408"/>
    <w:rsid w:val="00040C77"/>
    <w:rsid w:val="0005519A"/>
    <w:rsid w:val="00066BBC"/>
    <w:rsid w:val="0007696A"/>
    <w:rsid w:val="000922CE"/>
    <w:rsid w:val="000A15E3"/>
    <w:rsid w:val="000A16B2"/>
    <w:rsid w:val="000A6B09"/>
    <w:rsid w:val="000C15B9"/>
    <w:rsid w:val="000C4B30"/>
    <w:rsid w:val="000D0A49"/>
    <w:rsid w:val="000E0706"/>
    <w:rsid w:val="000F0A95"/>
    <w:rsid w:val="001064B3"/>
    <w:rsid w:val="00112A2D"/>
    <w:rsid w:val="00116541"/>
    <w:rsid w:val="00121BF6"/>
    <w:rsid w:val="00130253"/>
    <w:rsid w:val="00135DBF"/>
    <w:rsid w:val="00184026"/>
    <w:rsid w:val="00186972"/>
    <w:rsid w:val="00186C65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1CF6"/>
    <w:rsid w:val="001F5377"/>
    <w:rsid w:val="001F6499"/>
    <w:rsid w:val="00201DA5"/>
    <w:rsid w:val="00207AE5"/>
    <w:rsid w:val="00217942"/>
    <w:rsid w:val="0022099E"/>
    <w:rsid w:val="00230848"/>
    <w:rsid w:val="00230AFA"/>
    <w:rsid w:val="0025353C"/>
    <w:rsid w:val="00263758"/>
    <w:rsid w:val="00272E7B"/>
    <w:rsid w:val="00280710"/>
    <w:rsid w:val="002A45C4"/>
    <w:rsid w:val="002C4402"/>
    <w:rsid w:val="002D0858"/>
    <w:rsid w:val="002E5B6F"/>
    <w:rsid w:val="002F5442"/>
    <w:rsid w:val="0031761E"/>
    <w:rsid w:val="00326F6E"/>
    <w:rsid w:val="003605DF"/>
    <w:rsid w:val="00365A17"/>
    <w:rsid w:val="00373369"/>
    <w:rsid w:val="00373F31"/>
    <w:rsid w:val="0038209F"/>
    <w:rsid w:val="00382794"/>
    <w:rsid w:val="0039606B"/>
    <w:rsid w:val="00396615"/>
    <w:rsid w:val="003A0298"/>
    <w:rsid w:val="003B09FE"/>
    <w:rsid w:val="003B2E8F"/>
    <w:rsid w:val="003E1701"/>
    <w:rsid w:val="003F5EBB"/>
    <w:rsid w:val="00401981"/>
    <w:rsid w:val="0040288F"/>
    <w:rsid w:val="00414059"/>
    <w:rsid w:val="00425A8C"/>
    <w:rsid w:val="0043177C"/>
    <w:rsid w:val="00445925"/>
    <w:rsid w:val="00463158"/>
    <w:rsid w:val="00466830"/>
    <w:rsid w:val="0047247F"/>
    <w:rsid w:val="0049261C"/>
    <w:rsid w:val="004A2F4F"/>
    <w:rsid w:val="004B63A0"/>
    <w:rsid w:val="004C231C"/>
    <w:rsid w:val="004C7B8E"/>
    <w:rsid w:val="004D57FE"/>
    <w:rsid w:val="004D632E"/>
    <w:rsid w:val="004E6DE5"/>
    <w:rsid w:val="004F782A"/>
    <w:rsid w:val="00513188"/>
    <w:rsid w:val="00521D15"/>
    <w:rsid w:val="005221FF"/>
    <w:rsid w:val="005239BC"/>
    <w:rsid w:val="005255B4"/>
    <w:rsid w:val="00531476"/>
    <w:rsid w:val="00534779"/>
    <w:rsid w:val="00544A56"/>
    <w:rsid w:val="005501B2"/>
    <w:rsid w:val="005545C4"/>
    <w:rsid w:val="005700EF"/>
    <w:rsid w:val="00574D6A"/>
    <w:rsid w:val="00574E7F"/>
    <w:rsid w:val="005A077B"/>
    <w:rsid w:val="005A2B3F"/>
    <w:rsid w:val="005A75D7"/>
    <w:rsid w:val="005C212A"/>
    <w:rsid w:val="005C28FF"/>
    <w:rsid w:val="005C4A2B"/>
    <w:rsid w:val="005C7A52"/>
    <w:rsid w:val="005D135A"/>
    <w:rsid w:val="005D54D8"/>
    <w:rsid w:val="005E215A"/>
    <w:rsid w:val="005E2907"/>
    <w:rsid w:val="005E3AC6"/>
    <w:rsid w:val="0060599B"/>
    <w:rsid w:val="00611AE4"/>
    <w:rsid w:val="00615056"/>
    <w:rsid w:val="00625BB2"/>
    <w:rsid w:val="00637A92"/>
    <w:rsid w:val="00640D34"/>
    <w:rsid w:val="00644A2E"/>
    <w:rsid w:val="006475B3"/>
    <w:rsid w:val="00661E6B"/>
    <w:rsid w:val="00664B27"/>
    <w:rsid w:val="00665169"/>
    <w:rsid w:val="0068590F"/>
    <w:rsid w:val="00693834"/>
    <w:rsid w:val="006A00C0"/>
    <w:rsid w:val="006A106F"/>
    <w:rsid w:val="006B14E2"/>
    <w:rsid w:val="006D5BB0"/>
    <w:rsid w:val="006E34D5"/>
    <w:rsid w:val="006E4688"/>
    <w:rsid w:val="006F2C04"/>
    <w:rsid w:val="006F49F2"/>
    <w:rsid w:val="00701BAA"/>
    <w:rsid w:val="0071173C"/>
    <w:rsid w:val="00715C25"/>
    <w:rsid w:val="007161C0"/>
    <w:rsid w:val="00722573"/>
    <w:rsid w:val="007269A1"/>
    <w:rsid w:val="00731B4D"/>
    <w:rsid w:val="00733F6C"/>
    <w:rsid w:val="007449C5"/>
    <w:rsid w:val="00751764"/>
    <w:rsid w:val="007605B9"/>
    <w:rsid w:val="00760911"/>
    <w:rsid w:val="00763387"/>
    <w:rsid w:val="00763EDB"/>
    <w:rsid w:val="00780A9C"/>
    <w:rsid w:val="007844EF"/>
    <w:rsid w:val="007941CD"/>
    <w:rsid w:val="007A08B9"/>
    <w:rsid w:val="007C43F6"/>
    <w:rsid w:val="007D344E"/>
    <w:rsid w:val="007E0B15"/>
    <w:rsid w:val="007F3AE4"/>
    <w:rsid w:val="007F5D52"/>
    <w:rsid w:val="008012FE"/>
    <w:rsid w:val="00820735"/>
    <w:rsid w:val="008224E1"/>
    <w:rsid w:val="00830D2E"/>
    <w:rsid w:val="00833415"/>
    <w:rsid w:val="00844DF6"/>
    <w:rsid w:val="0086304B"/>
    <w:rsid w:val="0087512A"/>
    <w:rsid w:val="008778F9"/>
    <w:rsid w:val="00890EB1"/>
    <w:rsid w:val="008A6EB9"/>
    <w:rsid w:val="008B5F42"/>
    <w:rsid w:val="008D1A2F"/>
    <w:rsid w:val="008F7420"/>
    <w:rsid w:val="00900C51"/>
    <w:rsid w:val="00912BA0"/>
    <w:rsid w:val="009300A3"/>
    <w:rsid w:val="00941209"/>
    <w:rsid w:val="009539FD"/>
    <w:rsid w:val="00960FF2"/>
    <w:rsid w:val="00977034"/>
    <w:rsid w:val="00986EE1"/>
    <w:rsid w:val="009948B2"/>
    <w:rsid w:val="009B3DA1"/>
    <w:rsid w:val="009C7D35"/>
    <w:rsid w:val="009E4184"/>
    <w:rsid w:val="009F15A7"/>
    <w:rsid w:val="009F5520"/>
    <w:rsid w:val="009F7344"/>
    <w:rsid w:val="00A05B16"/>
    <w:rsid w:val="00A14502"/>
    <w:rsid w:val="00A157C9"/>
    <w:rsid w:val="00A17ADC"/>
    <w:rsid w:val="00A26A8B"/>
    <w:rsid w:val="00A300BB"/>
    <w:rsid w:val="00A5048B"/>
    <w:rsid w:val="00A51FA2"/>
    <w:rsid w:val="00A55864"/>
    <w:rsid w:val="00A7083C"/>
    <w:rsid w:val="00A74301"/>
    <w:rsid w:val="00A841C5"/>
    <w:rsid w:val="00A84D9C"/>
    <w:rsid w:val="00A9110A"/>
    <w:rsid w:val="00AA5596"/>
    <w:rsid w:val="00AB48BD"/>
    <w:rsid w:val="00AC5CC2"/>
    <w:rsid w:val="00AC6BBE"/>
    <w:rsid w:val="00AD17B5"/>
    <w:rsid w:val="00AF6D91"/>
    <w:rsid w:val="00B001B6"/>
    <w:rsid w:val="00B00A6D"/>
    <w:rsid w:val="00B07849"/>
    <w:rsid w:val="00B13650"/>
    <w:rsid w:val="00B23A48"/>
    <w:rsid w:val="00B249D3"/>
    <w:rsid w:val="00B34CB7"/>
    <w:rsid w:val="00B424DC"/>
    <w:rsid w:val="00B47190"/>
    <w:rsid w:val="00B53DE8"/>
    <w:rsid w:val="00B53E54"/>
    <w:rsid w:val="00B723B1"/>
    <w:rsid w:val="00B76308"/>
    <w:rsid w:val="00B96B52"/>
    <w:rsid w:val="00BA156F"/>
    <w:rsid w:val="00BA29FA"/>
    <w:rsid w:val="00BA5C01"/>
    <w:rsid w:val="00BB4DB4"/>
    <w:rsid w:val="00BD2846"/>
    <w:rsid w:val="00BE02E3"/>
    <w:rsid w:val="00BE2CF4"/>
    <w:rsid w:val="00BE4802"/>
    <w:rsid w:val="00BE668F"/>
    <w:rsid w:val="00C13B28"/>
    <w:rsid w:val="00C17E80"/>
    <w:rsid w:val="00C25793"/>
    <w:rsid w:val="00C360FE"/>
    <w:rsid w:val="00C37FF1"/>
    <w:rsid w:val="00C56D48"/>
    <w:rsid w:val="00C60678"/>
    <w:rsid w:val="00C746A8"/>
    <w:rsid w:val="00C75ADD"/>
    <w:rsid w:val="00C84095"/>
    <w:rsid w:val="00C93509"/>
    <w:rsid w:val="00C93B4D"/>
    <w:rsid w:val="00C9605B"/>
    <w:rsid w:val="00C962AF"/>
    <w:rsid w:val="00CB3FF1"/>
    <w:rsid w:val="00CB7254"/>
    <w:rsid w:val="00CE6CC1"/>
    <w:rsid w:val="00CE749F"/>
    <w:rsid w:val="00CF1F84"/>
    <w:rsid w:val="00D077D6"/>
    <w:rsid w:val="00D17B8B"/>
    <w:rsid w:val="00D20EF8"/>
    <w:rsid w:val="00D24145"/>
    <w:rsid w:val="00D52B14"/>
    <w:rsid w:val="00D62AE5"/>
    <w:rsid w:val="00D678FD"/>
    <w:rsid w:val="00D719E9"/>
    <w:rsid w:val="00D71E86"/>
    <w:rsid w:val="00D756D0"/>
    <w:rsid w:val="00D80023"/>
    <w:rsid w:val="00DB079C"/>
    <w:rsid w:val="00DD2851"/>
    <w:rsid w:val="00DD36C1"/>
    <w:rsid w:val="00DF5415"/>
    <w:rsid w:val="00E00293"/>
    <w:rsid w:val="00E023B3"/>
    <w:rsid w:val="00E03D27"/>
    <w:rsid w:val="00E10790"/>
    <w:rsid w:val="00E15216"/>
    <w:rsid w:val="00E16AB3"/>
    <w:rsid w:val="00E44470"/>
    <w:rsid w:val="00E50408"/>
    <w:rsid w:val="00E711A2"/>
    <w:rsid w:val="00EA7002"/>
    <w:rsid w:val="00EB1756"/>
    <w:rsid w:val="00EE11CC"/>
    <w:rsid w:val="00F0065F"/>
    <w:rsid w:val="00F01CDF"/>
    <w:rsid w:val="00F138B2"/>
    <w:rsid w:val="00F172CE"/>
    <w:rsid w:val="00F214E7"/>
    <w:rsid w:val="00F2436B"/>
    <w:rsid w:val="00F2705A"/>
    <w:rsid w:val="00F27949"/>
    <w:rsid w:val="00F3307A"/>
    <w:rsid w:val="00F35468"/>
    <w:rsid w:val="00F61E4C"/>
    <w:rsid w:val="00F631D1"/>
    <w:rsid w:val="00F70516"/>
    <w:rsid w:val="00F82E5B"/>
    <w:rsid w:val="00FB1F6F"/>
    <w:rsid w:val="00FB36E5"/>
    <w:rsid w:val="00FB68D9"/>
    <w:rsid w:val="00FC02F1"/>
    <w:rsid w:val="00FC5CD4"/>
    <w:rsid w:val="00FC6193"/>
    <w:rsid w:val="00FD227C"/>
    <w:rsid w:val="00FD23A2"/>
    <w:rsid w:val="00FD4D52"/>
    <w:rsid w:val="00FF41E0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nja.Knoke@tecal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alor.de/de/unternehmen/presse-aktuelles/pressemeld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3303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2020-06-19T09:06:00Z</dcterms:created>
  <dcterms:modified xsi:type="dcterms:W3CDTF">2020-06-23T07:12:00Z</dcterms:modified>
</cp:coreProperties>
</file>