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827FE6">
        <w:rPr>
          <w:rFonts w:ascii="Verdana" w:hAnsi="Verdana"/>
          <w:sz w:val="22"/>
        </w:rPr>
        <w:t>8</w:t>
      </w:r>
      <w:r w:rsidR="002A45C4">
        <w:rPr>
          <w:rFonts w:ascii="Verdana" w:hAnsi="Verdana"/>
          <w:sz w:val="22"/>
        </w:rPr>
        <w:t>/202</w:t>
      </w:r>
      <w:r w:rsidR="00586DD1">
        <w:rPr>
          <w:rFonts w:ascii="Verdana" w:hAnsi="Verdana"/>
          <w:sz w:val="22"/>
        </w:rPr>
        <w:t>1</w:t>
      </w:r>
      <w:r w:rsidRPr="00FC6193">
        <w:rPr>
          <w:rFonts w:ascii="Verdana" w:hAnsi="Verdana"/>
          <w:sz w:val="22"/>
        </w:rPr>
        <w:t xml:space="preserve"> </w:t>
      </w:r>
    </w:p>
    <w:p w:rsidR="004C231C" w:rsidRPr="00FC6193" w:rsidRDefault="004C231C" w:rsidP="004C231C">
      <w:pPr>
        <w:jc w:val="both"/>
        <w:rPr>
          <w:rFonts w:ascii="Verdana" w:hAnsi="Verdana" w:cs="Arial"/>
          <w:b/>
          <w:sz w:val="26"/>
        </w:rPr>
      </w:pPr>
    </w:p>
    <w:p w:rsidR="00E10790" w:rsidRDefault="00E10790" w:rsidP="004C231C">
      <w:pPr>
        <w:ind w:right="2268"/>
        <w:rPr>
          <w:rFonts w:ascii="Verdana" w:hAnsi="Verdana" w:cs="Arial"/>
          <w:b/>
          <w:sz w:val="26"/>
          <w:szCs w:val="28"/>
        </w:rPr>
      </w:pPr>
    </w:p>
    <w:p w:rsidR="0031761E" w:rsidRPr="00372E52" w:rsidRDefault="00880770" w:rsidP="003E1E00">
      <w:pPr>
        <w:ind w:right="2126"/>
        <w:rPr>
          <w:rFonts w:ascii="Verdana" w:hAnsi="Verdana"/>
          <w:b/>
          <w:bCs/>
          <w:sz w:val="26"/>
        </w:rPr>
      </w:pPr>
      <w:r>
        <w:rPr>
          <w:rFonts w:ascii="Verdana" w:hAnsi="Verdana"/>
          <w:b/>
          <w:bCs/>
          <w:sz w:val="26"/>
        </w:rPr>
        <w:t xml:space="preserve">Für </w:t>
      </w:r>
      <w:r w:rsidR="00D00533">
        <w:rPr>
          <w:rFonts w:ascii="Verdana" w:hAnsi="Verdana"/>
          <w:b/>
          <w:bCs/>
          <w:sz w:val="26"/>
        </w:rPr>
        <w:t>Hochwassergeschädigte</w:t>
      </w:r>
      <w:r>
        <w:rPr>
          <w:rFonts w:ascii="Verdana" w:hAnsi="Verdana"/>
          <w:b/>
          <w:bCs/>
          <w:sz w:val="26"/>
        </w:rPr>
        <w:t xml:space="preserve">: </w:t>
      </w:r>
      <w:r w:rsidR="002E62E3">
        <w:rPr>
          <w:rFonts w:ascii="Verdana" w:hAnsi="Verdana"/>
          <w:b/>
          <w:bCs/>
          <w:sz w:val="26"/>
        </w:rPr>
        <w:t xml:space="preserve">10 Prozent auf </w:t>
      </w:r>
      <w:r>
        <w:rPr>
          <w:rFonts w:ascii="Verdana" w:hAnsi="Verdana"/>
          <w:b/>
          <w:bCs/>
          <w:sz w:val="26"/>
        </w:rPr>
        <w:t xml:space="preserve"> </w:t>
      </w:r>
      <w:r w:rsidR="00D00533">
        <w:rPr>
          <w:rFonts w:ascii="Verdana" w:hAnsi="Verdana"/>
          <w:b/>
          <w:bCs/>
          <w:sz w:val="26"/>
        </w:rPr>
        <w:t xml:space="preserve">Wärmepumpen und Lüftungssysteme </w:t>
      </w:r>
    </w:p>
    <w:p w:rsidR="004C231C" w:rsidRPr="00FC6193" w:rsidRDefault="004C231C" w:rsidP="004C231C">
      <w:pPr>
        <w:rPr>
          <w:rStyle w:val="Fett"/>
        </w:rPr>
      </w:pPr>
    </w:p>
    <w:p w:rsidR="00B078EB" w:rsidRPr="00B078EB" w:rsidRDefault="00880770" w:rsidP="00D5440C">
      <w:pPr>
        <w:ind w:right="2268"/>
        <w:rPr>
          <w:rStyle w:val="Fett"/>
          <w:rFonts w:cs="Arial"/>
          <w:b w:val="0"/>
          <w:bCs w:val="0"/>
        </w:rPr>
      </w:pPr>
      <w:r>
        <w:rPr>
          <w:rStyle w:val="Fett"/>
          <w:rFonts w:ascii="Verdana" w:hAnsi="Verdana" w:cs="Arial"/>
          <w:sz w:val="22"/>
          <w:szCs w:val="22"/>
        </w:rPr>
        <w:t xml:space="preserve">Tausende Heizungs- und Lüftungsanlagen wurden bei den Hochwassern im Juli 2021 irreparabel beschädigt. </w:t>
      </w:r>
      <w:proofErr w:type="spellStart"/>
      <w:r>
        <w:rPr>
          <w:rStyle w:val="Fett"/>
          <w:rFonts w:ascii="Verdana" w:hAnsi="Verdana" w:cs="Arial"/>
          <w:sz w:val="22"/>
          <w:szCs w:val="22"/>
        </w:rPr>
        <w:t>tecalor</w:t>
      </w:r>
      <w:proofErr w:type="spellEnd"/>
      <w:r>
        <w:rPr>
          <w:rStyle w:val="Fett"/>
          <w:rFonts w:ascii="Verdana" w:hAnsi="Verdana" w:cs="Arial"/>
          <w:sz w:val="22"/>
          <w:szCs w:val="22"/>
        </w:rPr>
        <w:t xml:space="preserve"> </w:t>
      </w:r>
      <w:r w:rsidR="00D00533">
        <w:rPr>
          <w:rStyle w:val="Fett"/>
          <w:rFonts w:ascii="Verdana" w:hAnsi="Verdana" w:cs="Arial"/>
          <w:sz w:val="22"/>
          <w:szCs w:val="22"/>
        </w:rPr>
        <w:t xml:space="preserve">unterstützt </w:t>
      </w:r>
      <w:r>
        <w:rPr>
          <w:rStyle w:val="Fett"/>
          <w:rFonts w:ascii="Verdana" w:hAnsi="Verdana" w:cs="Arial"/>
          <w:sz w:val="22"/>
          <w:szCs w:val="22"/>
        </w:rPr>
        <w:t xml:space="preserve">Betroffene </w:t>
      </w:r>
      <w:r w:rsidR="00D00533">
        <w:rPr>
          <w:rStyle w:val="Fett"/>
          <w:rFonts w:ascii="Verdana" w:hAnsi="Verdana" w:cs="Arial"/>
          <w:sz w:val="22"/>
          <w:szCs w:val="22"/>
        </w:rPr>
        <w:t xml:space="preserve">mit einem Nachlass von </w:t>
      </w:r>
      <w:r>
        <w:rPr>
          <w:rStyle w:val="Fett"/>
          <w:rFonts w:ascii="Verdana" w:hAnsi="Verdana" w:cs="Arial"/>
          <w:sz w:val="22"/>
          <w:szCs w:val="22"/>
        </w:rPr>
        <w:t xml:space="preserve">10 Prozent </w:t>
      </w:r>
      <w:r w:rsidR="00D00533">
        <w:rPr>
          <w:rStyle w:val="Fett"/>
          <w:rFonts w:ascii="Verdana" w:hAnsi="Verdana" w:cs="Arial"/>
          <w:sz w:val="22"/>
          <w:szCs w:val="22"/>
        </w:rPr>
        <w:t xml:space="preserve">auf den </w:t>
      </w:r>
      <w:r>
        <w:rPr>
          <w:rStyle w:val="Fett"/>
          <w:rFonts w:ascii="Verdana" w:hAnsi="Verdana" w:cs="Arial"/>
          <w:sz w:val="22"/>
          <w:szCs w:val="22"/>
        </w:rPr>
        <w:t xml:space="preserve">Bruttowarenwert nach dem Kauf eines </w:t>
      </w:r>
      <w:r w:rsidR="000E0157">
        <w:rPr>
          <w:rStyle w:val="Fett"/>
          <w:rFonts w:ascii="Verdana" w:hAnsi="Verdana" w:cs="Arial"/>
          <w:sz w:val="22"/>
          <w:szCs w:val="22"/>
        </w:rPr>
        <w:t xml:space="preserve">neuen </w:t>
      </w:r>
      <w:proofErr w:type="spellStart"/>
      <w:r>
        <w:rPr>
          <w:rStyle w:val="Fett"/>
          <w:rFonts w:ascii="Verdana" w:hAnsi="Verdana" w:cs="Arial"/>
          <w:sz w:val="22"/>
          <w:szCs w:val="22"/>
        </w:rPr>
        <w:t>tecalor</w:t>
      </w:r>
      <w:proofErr w:type="spellEnd"/>
      <w:r>
        <w:rPr>
          <w:rStyle w:val="Fett"/>
          <w:rFonts w:ascii="Verdana" w:hAnsi="Verdana" w:cs="Arial"/>
          <w:sz w:val="22"/>
          <w:szCs w:val="22"/>
        </w:rPr>
        <w:t>-Produkts</w:t>
      </w:r>
      <w:r w:rsidR="00827FE6">
        <w:rPr>
          <w:rStyle w:val="Fett"/>
          <w:rFonts w:ascii="Verdana" w:hAnsi="Verdana" w:cs="Arial"/>
          <w:sz w:val="22"/>
          <w:szCs w:val="22"/>
        </w:rPr>
        <w:t>.</w:t>
      </w:r>
    </w:p>
    <w:p w:rsidR="000C49C4" w:rsidRDefault="000C49C4" w:rsidP="00536ECD">
      <w:pPr>
        <w:tabs>
          <w:tab w:val="left" w:pos="6840"/>
        </w:tabs>
        <w:spacing w:line="360" w:lineRule="auto"/>
        <w:ind w:right="2268"/>
        <w:rPr>
          <w:rFonts w:ascii="Verdana" w:hAnsi="Verdana" w:cs="Arial"/>
          <w:sz w:val="22"/>
          <w:szCs w:val="22"/>
        </w:rPr>
      </w:pPr>
    </w:p>
    <w:p w:rsidR="00F328DF" w:rsidRDefault="00880770" w:rsidP="00F819AE">
      <w:pPr>
        <w:tabs>
          <w:tab w:val="left" w:pos="6840"/>
        </w:tabs>
        <w:spacing w:line="360" w:lineRule="auto"/>
        <w:ind w:right="2268"/>
        <w:rPr>
          <w:rFonts w:ascii="Verdana" w:hAnsi="Verdana" w:cs="Arial"/>
          <w:sz w:val="22"/>
          <w:szCs w:val="22"/>
        </w:rPr>
      </w:pPr>
      <w:r>
        <w:rPr>
          <w:rFonts w:ascii="Verdana" w:hAnsi="Verdana" w:cs="Arial"/>
          <w:sz w:val="22"/>
          <w:szCs w:val="22"/>
        </w:rPr>
        <w:t>Die Heizung</w:t>
      </w:r>
      <w:r w:rsidR="00F328DF">
        <w:rPr>
          <w:rFonts w:ascii="Verdana" w:hAnsi="Verdana" w:cs="Arial"/>
          <w:sz w:val="22"/>
          <w:szCs w:val="22"/>
        </w:rPr>
        <w:t xml:space="preserve"> in Keller oder Hauswirtschaftsraum </w:t>
      </w:r>
      <w:r>
        <w:rPr>
          <w:rFonts w:ascii="Verdana" w:hAnsi="Verdana" w:cs="Arial"/>
          <w:sz w:val="22"/>
          <w:szCs w:val="22"/>
        </w:rPr>
        <w:t xml:space="preserve">traf es in vielen Häusern in Rheinland-Pfalz, Nordrhein-Westfalen, Bayern </w:t>
      </w:r>
      <w:r w:rsidR="00F328DF">
        <w:rPr>
          <w:rFonts w:ascii="Verdana" w:hAnsi="Verdana" w:cs="Arial"/>
          <w:sz w:val="22"/>
          <w:szCs w:val="22"/>
        </w:rPr>
        <w:t>und</w:t>
      </w:r>
      <w:r>
        <w:rPr>
          <w:rFonts w:ascii="Verdana" w:hAnsi="Verdana" w:cs="Arial"/>
          <w:sz w:val="22"/>
          <w:szCs w:val="22"/>
        </w:rPr>
        <w:t xml:space="preserve"> Sachsen im Juli 2021 oftmals zuerst: Tausend</w:t>
      </w:r>
      <w:r w:rsidR="002E62E3">
        <w:rPr>
          <w:rFonts w:ascii="Verdana" w:hAnsi="Verdana" w:cs="Arial"/>
          <w:sz w:val="22"/>
          <w:szCs w:val="22"/>
        </w:rPr>
        <w:t>e</w:t>
      </w:r>
      <w:r>
        <w:rPr>
          <w:rFonts w:ascii="Verdana" w:hAnsi="Verdana" w:cs="Arial"/>
          <w:sz w:val="22"/>
          <w:szCs w:val="22"/>
        </w:rPr>
        <w:t xml:space="preserve"> Heizungswracks landeten</w:t>
      </w:r>
      <w:r w:rsidR="0091708B">
        <w:rPr>
          <w:rFonts w:ascii="Verdana" w:hAnsi="Verdana" w:cs="Arial"/>
          <w:sz w:val="22"/>
          <w:szCs w:val="22"/>
        </w:rPr>
        <w:t xml:space="preserve"> und landen</w:t>
      </w:r>
      <w:r>
        <w:rPr>
          <w:rFonts w:ascii="Verdana" w:hAnsi="Verdana" w:cs="Arial"/>
          <w:sz w:val="22"/>
          <w:szCs w:val="22"/>
        </w:rPr>
        <w:t xml:space="preserve"> in der Folge auf dem Sperrmüll. </w:t>
      </w:r>
      <w:r w:rsidR="00F328DF">
        <w:rPr>
          <w:rFonts w:ascii="Verdana" w:hAnsi="Verdana" w:cs="Arial"/>
          <w:sz w:val="22"/>
          <w:szCs w:val="22"/>
        </w:rPr>
        <w:t xml:space="preserve">Auch die Infrastruktur ist vielerorts massiv beschädigt. Strom und Wasser werden vorrangig wieder hergestellt in den betroffenen Städten und Gemeinden – Gas wird oftmals erst später kommen. </w:t>
      </w:r>
      <w:r w:rsidR="00136FC9">
        <w:rPr>
          <w:rFonts w:ascii="Verdana" w:hAnsi="Verdana" w:cs="Arial"/>
          <w:sz w:val="22"/>
          <w:szCs w:val="22"/>
        </w:rPr>
        <w:t xml:space="preserve">Ölheizungen sollen vollkommen aus Hochwasser gefährdeten Gebieten verschwinden. </w:t>
      </w:r>
      <w:r w:rsidR="007B70B9">
        <w:rPr>
          <w:rFonts w:ascii="Verdana" w:hAnsi="Verdana" w:cs="Arial"/>
          <w:sz w:val="22"/>
          <w:szCs w:val="22"/>
        </w:rPr>
        <w:t>Was also tun?</w:t>
      </w:r>
    </w:p>
    <w:p w:rsidR="00F328DF" w:rsidRDefault="00F328DF" w:rsidP="00F819AE">
      <w:pPr>
        <w:tabs>
          <w:tab w:val="left" w:pos="6840"/>
        </w:tabs>
        <w:spacing w:line="360" w:lineRule="auto"/>
        <w:ind w:right="2268"/>
        <w:rPr>
          <w:rFonts w:ascii="Verdana" w:hAnsi="Verdana" w:cs="Arial"/>
          <w:sz w:val="22"/>
          <w:szCs w:val="22"/>
        </w:rPr>
      </w:pPr>
    </w:p>
    <w:p w:rsidR="00F328DF" w:rsidRPr="00F328DF" w:rsidRDefault="00F328DF" w:rsidP="00F819AE">
      <w:pPr>
        <w:tabs>
          <w:tab w:val="left" w:pos="6840"/>
        </w:tabs>
        <w:spacing w:line="360" w:lineRule="auto"/>
        <w:ind w:right="2268"/>
        <w:rPr>
          <w:rFonts w:ascii="Verdana" w:hAnsi="Verdana" w:cs="Arial"/>
          <w:b/>
          <w:sz w:val="22"/>
          <w:szCs w:val="22"/>
        </w:rPr>
      </w:pPr>
      <w:r w:rsidRPr="00F328DF">
        <w:rPr>
          <w:rFonts w:ascii="Verdana" w:hAnsi="Verdana" w:cs="Arial"/>
          <w:b/>
          <w:sz w:val="22"/>
          <w:szCs w:val="22"/>
        </w:rPr>
        <w:t>10 Prozent auf den Bruttowarenwert</w:t>
      </w:r>
    </w:p>
    <w:p w:rsidR="00F819AE" w:rsidRDefault="00880770" w:rsidP="00F819AE">
      <w:pPr>
        <w:tabs>
          <w:tab w:val="left" w:pos="6840"/>
        </w:tabs>
        <w:spacing w:line="360" w:lineRule="auto"/>
        <w:ind w:right="2268"/>
        <w:rPr>
          <w:rFonts w:ascii="Verdana" w:hAnsi="Verdana" w:cs="Arial"/>
          <w:sz w:val="22"/>
          <w:szCs w:val="22"/>
        </w:rPr>
      </w:pPr>
      <w:r>
        <w:rPr>
          <w:rFonts w:ascii="Verdana" w:hAnsi="Verdana" w:cs="Arial"/>
          <w:sz w:val="22"/>
          <w:szCs w:val="22"/>
        </w:rPr>
        <w:t xml:space="preserve">Um schnellstmöglich </w:t>
      </w:r>
      <w:r w:rsidR="00F328DF">
        <w:rPr>
          <w:rFonts w:ascii="Verdana" w:hAnsi="Verdana" w:cs="Arial"/>
          <w:sz w:val="22"/>
          <w:szCs w:val="22"/>
        </w:rPr>
        <w:t xml:space="preserve">wieder Heizungswärme und warmes Wasser in den Häusern zur Verfügung zu haben, unterstützt </w:t>
      </w:r>
      <w:proofErr w:type="spellStart"/>
      <w:r w:rsidR="00F328DF">
        <w:rPr>
          <w:rFonts w:ascii="Verdana" w:hAnsi="Verdana" w:cs="Arial"/>
          <w:sz w:val="22"/>
          <w:szCs w:val="22"/>
        </w:rPr>
        <w:t>tecalor</w:t>
      </w:r>
      <w:proofErr w:type="spellEnd"/>
      <w:r w:rsidR="00F328DF">
        <w:rPr>
          <w:rFonts w:ascii="Verdana" w:hAnsi="Verdana" w:cs="Arial"/>
          <w:sz w:val="22"/>
          <w:szCs w:val="22"/>
        </w:rPr>
        <w:t xml:space="preserve"> Hausbesitzer mit einer </w:t>
      </w:r>
      <w:r w:rsidR="002E62E3">
        <w:rPr>
          <w:rFonts w:ascii="Verdana" w:hAnsi="Verdana" w:cs="Arial"/>
          <w:sz w:val="22"/>
          <w:szCs w:val="22"/>
        </w:rPr>
        <w:t>Gutschein</w:t>
      </w:r>
      <w:r w:rsidR="00F328DF">
        <w:rPr>
          <w:rFonts w:ascii="Verdana" w:hAnsi="Verdana" w:cs="Arial"/>
          <w:sz w:val="22"/>
          <w:szCs w:val="22"/>
        </w:rPr>
        <w:t>aktion</w:t>
      </w:r>
      <w:r w:rsidR="007B70B9">
        <w:rPr>
          <w:rFonts w:ascii="Verdana" w:hAnsi="Verdana" w:cs="Arial"/>
          <w:sz w:val="22"/>
          <w:szCs w:val="22"/>
        </w:rPr>
        <w:t>:</w:t>
      </w:r>
      <w:r w:rsidR="00F328DF">
        <w:rPr>
          <w:rFonts w:ascii="Verdana" w:hAnsi="Verdana" w:cs="Arial"/>
          <w:sz w:val="22"/>
          <w:szCs w:val="22"/>
        </w:rPr>
        <w:t xml:space="preserve"> Für jedes vom Hochwasser zerstörte Gerät, das durch ein </w:t>
      </w:r>
      <w:proofErr w:type="spellStart"/>
      <w:r w:rsidR="00F328DF">
        <w:rPr>
          <w:rFonts w:ascii="Verdana" w:hAnsi="Verdana" w:cs="Arial"/>
          <w:sz w:val="22"/>
          <w:szCs w:val="22"/>
        </w:rPr>
        <w:t>tecalor</w:t>
      </w:r>
      <w:proofErr w:type="spellEnd"/>
      <w:r w:rsidR="00F328DF">
        <w:rPr>
          <w:rFonts w:ascii="Verdana" w:hAnsi="Verdana" w:cs="Arial"/>
          <w:sz w:val="22"/>
          <w:szCs w:val="22"/>
        </w:rPr>
        <w:t xml:space="preserve">-Produkt ersetzt wird, erhält der Käufer </w:t>
      </w:r>
      <w:r w:rsidR="00D00533">
        <w:rPr>
          <w:rFonts w:ascii="Verdana" w:hAnsi="Verdana" w:cs="Arial"/>
          <w:sz w:val="22"/>
          <w:szCs w:val="22"/>
        </w:rPr>
        <w:t>die Möglichkeit</w:t>
      </w:r>
      <w:r w:rsidR="002E62E3">
        <w:rPr>
          <w:rFonts w:ascii="Verdana" w:hAnsi="Verdana" w:cs="Arial"/>
          <w:sz w:val="22"/>
          <w:szCs w:val="22"/>
        </w:rPr>
        <w:t>,</w:t>
      </w:r>
      <w:r w:rsidR="00D00533">
        <w:rPr>
          <w:rFonts w:ascii="Verdana" w:hAnsi="Verdana" w:cs="Arial"/>
          <w:sz w:val="22"/>
          <w:szCs w:val="22"/>
        </w:rPr>
        <w:t xml:space="preserve"> 10 Prozent des Bruttowarenwerts </w:t>
      </w:r>
      <w:r w:rsidR="0099182E">
        <w:rPr>
          <w:rFonts w:ascii="Verdana" w:hAnsi="Verdana" w:cs="Arial"/>
          <w:sz w:val="22"/>
          <w:szCs w:val="22"/>
        </w:rPr>
        <w:t xml:space="preserve">erstattet </w:t>
      </w:r>
      <w:r w:rsidR="00BE17AE">
        <w:rPr>
          <w:rFonts w:ascii="Verdana" w:hAnsi="Verdana" w:cs="Arial"/>
          <w:sz w:val="22"/>
          <w:szCs w:val="22"/>
        </w:rPr>
        <w:t>zu bekommen</w:t>
      </w:r>
      <w:r w:rsidR="00D00533">
        <w:rPr>
          <w:rFonts w:ascii="Verdana" w:hAnsi="Verdana" w:cs="Arial"/>
          <w:sz w:val="22"/>
          <w:szCs w:val="22"/>
        </w:rPr>
        <w:t xml:space="preserve">. </w:t>
      </w:r>
    </w:p>
    <w:p w:rsidR="00F328DF" w:rsidRDefault="00F328DF" w:rsidP="00F819AE">
      <w:pPr>
        <w:tabs>
          <w:tab w:val="left" w:pos="6840"/>
        </w:tabs>
        <w:spacing w:line="360" w:lineRule="auto"/>
        <w:ind w:right="2268"/>
        <w:rPr>
          <w:rFonts w:ascii="Verdana" w:hAnsi="Verdana" w:cs="Arial"/>
          <w:sz w:val="22"/>
          <w:szCs w:val="22"/>
        </w:rPr>
      </w:pPr>
    </w:p>
    <w:p w:rsidR="007B70B9" w:rsidRPr="007B70B9" w:rsidRDefault="002E62E3" w:rsidP="00F819AE">
      <w:pPr>
        <w:tabs>
          <w:tab w:val="left" w:pos="6840"/>
        </w:tabs>
        <w:spacing w:line="360" w:lineRule="auto"/>
        <w:ind w:right="2268"/>
        <w:rPr>
          <w:rFonts w:ascii="Verdana" w:hAnsi="Verdana" w:cs="Arial"/>
          <w:b/>
          <w:sz w:val="22"/>
          <w:szCs w:val="22"/>
        </w:rPr>
      </w:pPr>
      <w:r>
        <w:rPr>
          <w:rFonts w:ascii="Verdana" w:hAnsi="Verdana" w:cs="Arial"/>
          <w:b/>
          <w:sz w:val="22"/>
          <w:szCs w:val="22"/>
        </w:rPr>
        <w:t xml:space="preserve">Expertentipp: </w:t>
      </w:r>
      <w:r w:rsidR="007B70B9" w:rsidRPr="007B70B9">
        <w:rPr>
          <w:rFonts w:ascii="Verdana" w:hAnsi="Verdana" w:cs="Arial"/>
          <w:b/>
          <w:sz w:val="22"/>
          <w:szCs w:val="22"/>
        </w:rPr>
        <w:t xml:space="preserve">Wärmepumpe hochwassersicher </w:t>
      </w:r>
    </w:p>
    <w:p w:rsidR="00F328DF" w:rsidRDefault="00F328DF" w:rsidP="00F819AE">
      <w:pPr>
        <w:tabs>
          <w:tab w:val="left" w:pos="6840"/>
        </w:tabs>
        <w:spacing w:line="360" w:lineRule="auto"/>
        <w:ind w:right="2268"/>
        <w:rPr>
          <w:rFonts w:ascii="Verdana" w:hAnsi="Verdana" w:cs="Arial"/>
          <w:sz w:val="22"/>
          <w:szCs w:val="22"/>
        </w:rPr>
      </w:pPr>
      <w:r>
        <w:rPr>
          <w:rFonts w:ascii="Verdana" w:hAnsi="Verdana" w:cs="Arial"/>
          <w:sz w:val="22"/>
          <w:szCs w:val="22"/>
        </w:rPr>
        <w:t>„Eine Luft-Wasser-Wärmepumpe ist beispielsweise schnell installiert</w:t>
      </w:r>
      <w:r w:rsidR="007B70B9">
        <w:rPr>
          <w:rFonts w:ascii="Verdana" w:hAnsi="Verdana" w:cs="Arial"/>
          <w:sz w:val="22"/>
          <w:szCs w:val="22"/>
        </w:rPr>
        <w:t xml:space="preserve"> und in ein bestehendes Heizungsnetz eingebunden</w:t>
      </w:r>
      <w:r>
        <w:rPr>
          <w:rFonts w:ascii="Verdana" w:hAnsi="Verdana" w:cs="Arial"/>
          <w:sz w:val="22"/>
          <w:szCs w:val="22"/>
        </w:rPr>
        <w:t xml:space="preserve">“, erklärt </w:t>
      </w:r>
      <w:proofErr w:type="spellStart"/>
      <w:r>
        <w:rPr>
          <w:rFonts w:ascii="Verdana" w:hAnsi="Verdana" w:cs="Arial"/>
          <w:sz w:val="22"/>
          <w:szCs w:val="22"/>
        </w:rPr>
        <w:t>tecalor</w:t>
      </w:r>
      <w:proofErr w:type="spellEnd"/>
      <w:r>
        <w:rPr>
          <w:rFonts w:ascii="Verdana" w:hAnsi="Verdana" w:cs="Arial"/>
          <w:sz w:val="22"/>
          <w:szCs w:val="22"/>
        </w:rPr>
        <w:t xml:space="preserve">-Geschäftsführer Karl </w:t>
      </w:r>
      <w:proofErr w:type="spellStart"/>
      <w:r>
        <w:rPr>
          <w:rFonts w:ascii="Verdana" w:hAnsi="Verdana" w:cs="Arial"/>
          <w:sz w:val="22"/>
          <w:szCs w:val="22"/>
        </w:rPr>
        <w:lastRenderedPageBreak/>
        <w:t>Stuhlenmiller</w:t>
      </w:r>
      <w:proofErr w:type="spellEnd"/>
      <w:r>
        <w:rPr>
          <w:rFonts w:ascii="Verdana" w:hAnsi="Verdana" w:cs="Arial"/>
          <w:sz w:val="22"/>
          <w:szCs w:val="22"/>
        </w:rPr>
        <w:t>. „Für sie benötigt man nur einen Wasser- und einen Elektr</w:t>
      </w:r>
      <w:r w:rsidR="000E0157">
        <w:rPr>
          <w:rFonts w:ascii="Verdana" w:hAnsi="Verdana" w:cs="Arial"/>
          <w:sz w:val="22"/>
          <w:szCs w:val="22"/>
        </w:rPr>
        <w:t>o</w:t>
      </w:r>
      <w:r>
        <w:rPr>
          <w:rFonts w:ascii="Verdana" w:hAnsi="Verdana" w:cs="Arial"/>
          <w:sz w:val="22"/>
          <w:szCs w:val="22"/>
        </w:rPr>
        <w:t xml:space="preserve">anschluss, um mit grüner Wärme sein Haus nachhaltig zu </w:t>
      </w:r>
      <w:r w:rsidR="000E0157">
        <w:rPr>
          <w:rFonts w:ascii="Verdana" w:hAnsi="Verdana" w:cs="Arial"/>
          <w:sz w:val="22"/>
          <w:szCs w:val="22"/>
        </w:rPr>
        <w:t>versorgen.“</w:t>
      </w:r>
      <w:r w:rsidR="002E62E3">
        <w:rPr>
          <w:rFonts w:ascii="Verdana" w:hAnsi="Verdana" w:cs="Arial"/>
          <w:sz w:val="22"/>
          <w:szCs w:val="22"/>
        </w:rPr>
        <w:t xml:space="preserve"> Damit die Geräte hochwassersicher installiert werden, empfiehlt der Experte die Montage einer außenstehenden Luft-Wasser-Wärmepumpe auf einer Wandkonsole an der Fassade. Auch ein anderer erhöhter Standort wie ein angrenzendes Garagendach kann sich anbieten. Der Integralspeicher findet dann ebenso wie ein Lüftungsgerät Platz auf dem Dachboden oder in einem Hauswirtschaftsraum im Obergeschoss. „Entlang der Hochwassergebiete an der Elbe ist eine solche Montage heute gang und gäbe“, erklärt Stuhlenmiller. Für Wärmepumpen und</w:t>
      </w:r>
      <w:r w:rsidR="000E0157">
        <w:rPr>
          <w:rFonts w:ascii="Verdana" w:hAnsi="Verdana" w:cs="Arial"/>
          <w:sz w:val="22"/>
          <w:szCs w:val="22"/>
        </w:rPr>
        <w:t xml:space="preserve"> alle anderen Geräte aus dem Hause </w:t>
      </w:r>
      <w:proofErr w:type="spellStart"/>
      <w:r w:rsidR="000E0157">
        <w:rPr>
          <w:rFonts w:ascii="Verdana" w:hAnsi="Verdana" w:cs="Arial"/>
          <w:sz w:val="22"/>
          <w:szCs w:val="22"/>
        </w:rPr>
        <w:t>tecalor</w:t>
      </w:r>
      <w:proofErr w:type="spellEnd"/>
      <w:r w:rsidR="000E0157">
        <w:rPr>
          <w:rFonts w:ascii="Verdana" w:hAnsi="Verdana" w:cs="Arial"/>
          <w:sz w:val="22"/>
          <w:szCs w:val="22"/>
        </w:rPr>
        <w:t>, wie Lüftungssysteme</w:t>
      </w:r>
      <w:r w:rsidR="002E62E3">
        <w:rPr>
          <w:rFonts w:ascii="Verdana" w:hAnsi="Verdana" w:cs="Arial"/>
          <w:sz w:val="22"/>
          <w:szCs w:val="22"/>
        </w:rPr>
        <w:t xml:space="preserve"> oder</w:t>
      </w:r>
      <w:r w:rsidR="000E0157">
        <w:rPr>
          <w:rFonts w:ascii="Verdana" w:hAnsi="Verdana" w:cs="Arial"/>
          <w:sz w:val="22"/>
          <w:szCs w:val="22"/>
        </w:rPr>
        <w:t xml:space="preserve"> Systemspeicher</w:t>
      </w:r>
      <w:r w:rsidR="002E62E3">
        <w:rPr>
          <w:rFonts w:ascii="Verdana" w:hAnsi="Verdana" w:cs="Arial"/>
          <w:sz w:val="22"/>
          <w:szCs w:val="22"/>
        </w:rPr>
        <w:t>,</w:t>
      </w:r>
      <w:r w:rsidR="000E0157">
        <w:rPr>
          <w:rFonts w:ascii="Verdana" w:hAnsi="Verdana" w:cs="Arial"/>
          <w:sz w:val="22"/>
          <w:szCs w:val="22"/>
        </w:rPr>
        <w:t xml:space="preserve"> gibt es d</w:t>
      </w:r>
      <w:r w:rsidR="002E62E3">
        <w:rPr>
          <w:rFonts w:ascii="Verdana" w:hAnsi="Verdana" w:cs="Arial"/>
          <w:sz w:val="22"/>
          <w:szCs w:val="22"/>
        </w:rPr>
        <w:t>ie</w:t>
      </w:r>
      <w:r w:rsidR="000E0157">
        <w:rPr>
          <w:rFonts w:ascii="Verdana" w:hAnsi="Verdana" w:cs="Arial"/>
          <w:sz w:val="22"/>
          <w:szCs w:val="22"/>
        </w:rPr>
        <w:t xml:space="preserve"> </w:t>
      </w:r>
      <w:r w:rsidR="002E62E3">
        <w:rPr>
          <w:rFonts w:ascii="Verdana" w:hAnsi="Verdana" w:cs="Arial"/>
          <w:sz w:val="22"/>
          <w:szCs w:val="22"/>
        </w:rPr>
        <w:t>zehnprozentige Rückvergütung</w:t>
      </w:r>
      <w:r w:rsidR="000E0157">
        <w:rPr>
          <w:rFonts w:ascii="Verdana" w:hAnsi="Verdana" w:cs="Arial"/>
          <w:sz w:val="22"/>
          <w:szCs w:val="22"/>
        </w:rPr>
        <w:t>.</w:t>
      </w:r>
    </w:p>
    <w:p w:rsidR="003336D8" w:rsidRDefault="003336D8" w:rsidP="00536ECD">
      <w:pPr>
        <w:tabs>
          <w:tab w:val="left" w:pos="6840"/>
        </w:tabs>
        <w:spacing w:line="360" w:lineRule="auto"/>
        <w:ind w:right="2268"/>
        <w:rPr>
          <w:rFonts w:ascii="Verdana" w:hAnsi="Verdana" w:cs="Arial"/>
          <w:sz w:val="22"/>
          <w:szCs w:val="22"/>
        </w:rPr>
      </w:pPr>
    </w:p>
    <w:p w:rsidR="00211B37" w:rsidRDefault="005C507E" w:rsidP="000E0157">
      <w:pPr>
        <w:spacing w:line="360" w:lineRule="auto"/>
        <w:ind w:right="-1417"/>
        <w:rPr>
          <w:rFonts w:ascii="Verdana" w:hAnsi="Verdana" w:cs="Arial"/>
          <w:sz w:val="22"/>
          <w:szCs w:val="22"/>
        </w:rPr>
      </w:pPr>
      <w:r>
        <w:rPr>
          <w:rFonts w:ascii="Verdana" w:hAnsi="Verdana" w:cs="Arial"/>
          <w:sz w:val="22"/>
          <w:szCs w:val="22"/>
        </w:rPr>
        <w:t>Die Hilfe können Betroffene schnell online beantragen</w:t>
      </w:r>
      <w:r w:rsidR="0015488E">
        <w:rPr>
          <w:rFonts w:ascii="Verdana" w:hAnsi="Verdana" w:cs="Arial"/>
          <w:sz w:val="22"/>
          <w:szCs w:val="22"/>
        </w:rPr>
        <w:t xml:space="preserve"> </w:t>
      </w:r>
      <w:r>
        <w:rPr>
          <w:rFonts w:ascii="Verdana" w:hAnsi="Verdana" w:cs="Arial"/>
          <w:sz w:val="22"/>
          <w:szCs w:val="22"/>
        </w:rPr>
        <w:t>unter</w:t>
      </w:r>
      <w:r w:rsidR="00D00533">
        <w:rPr>
          <w:rFonts w:ascii="Verdana" w:hAnsi="Verdana" w:cs="Arial"/>
          <w:sz w:val="22"/>
          <w:szCs w:val="22"/>
        </w:rPr>
        <w:t xml:space="preserve"> </w:t>
      </w:r>
      <w:r w:rsidR="0099182E">
        <w:rPr>
          <w:rFonts w:ascii="Verdana" w:hAnsi="Verdana" w:cs="Arial"/>
          <w:sz w:val="22"/>
          <w:szCs w:val="22"/>
        </w:rPr>
        <w:br/>
      </w:r>
      <w:hyperlink r:id="rId8" w:history="1">
        <w:r w:rsidR="0099182E" w:rsidRPr="00551444">
          <w:rPr>
            <w:rStyle w:val="Hyperlink"/>
            <w:rFonts w:ascii="Verdana" w:hAnsi="Verdana" w:cs="Arial"/>
            <w:sz w:val="22"/>
            <w:szCs w:val="22"/>
          </w:rPr>
          <w:t>www.tecalor.de/hochwasserhilfe-2021</w:t>
        </w:r>
      </w:hyperlink>
      <w:r w:rsidR="00D154E0">
        <w:rPr>
          <w:rFonts w:ascii="Verdana" w:hAnsi="Verdana" w:cs="Arial"/>
          <w:sz w:val="22"/>
          <w:szCs w:val="22"/>
        </w:rPr>
        <w:br/>
      </w:r>
    </w:p>
    <w:p w:rsidR="00C61A93" w:rsidRDefault="00A355AA" w:rsidP="00C61A93">
      <w:pPr>
        <w:tabs>
          <w:tab w:val="left" w:pos="6840"/>
        </w:tabs>
        <w:spacing w:line="360" w:lineRule="auto"/>
        <w:ind w:right="2268"/>
        <w:rPr>
          <w:rFonts w:ascii="Verdana" w:hAnsi="Verdana" w:cs="Arial"/>
          <w:sz w:val="22"/>
          <w:szCs w:val="22"/>
        </w:rPr>
      </w:pPr>
      <w:r w:rsidRPr="00FC6193">
        <w:rPr>
          <w:rFonts w:ascii="Verdana" w:hAnsi="Verdana" w:cs="Arial"/>
          <w:sz w:val="22"/>
          <w:szCs w:val="22"/>
        </w:rPr>
        <w:t xml:space="preserve">Zeichen: </w:t>
      </w:r>
      <w:r w:rsidR="002E62E3">
        <w:rPr>
          <w:rFonts w:ascii="Verdana" w:hAnsi="Verdana" w:cs="Arial"/>
          <w:sz w:val="22"/>
          <w:szCs w:val="22"/>
        </w:rPr>
        <w:t>2.186</w:t>
      </w:r>
      <w:r w:rsidR="004302A2">
        <w:rPr>
          <w:rFonts w:ascii="Verdana" w:hAnsi="Verdana" w:cs="Arial"/>
          <w:sz w:val="22"/>
          <w:szCs w:val="22"/>
        </w:rPr>
        <w:t xml:space="preserve"> </w:t>
      </w:r>
      <w:proofErr w:type="spellStart"/>
      <w:r>
        <w:rPr>
          <w:rFonts w:ascii="Verdana" w:hAnsi="Verdana" w:cs="Arial"/>
          <w:sz w:val="22"/>
          <w:szCs w:val="22"/>
        </w:rPr>
        <w:t>Z.i.L</w:t>
      </w:r>
      <w:proofErr w:type="spellEnd"/>
      <w:r>
        <w:rPr>
          <w:rFonts w:ascii="Verdana" w:hAnsi="Verdana" w:cs="Arial"/>
          <w:sz w:val="22"/>
          <w:szCs w:val="22"/>
        </w:rPr>
        <w:t>.</w:t>
      </w:r>
    </w:p>
    <w:p w:rsidR="00211B37" w:rsidRDefault="00211B37" w:rsidP="00C61A93">
      <w:pPr>
        <w:tabs>
          <w:tab w:val="left" w:pos="6840"/>
        </w:tabs>
        <w:spacing w:line="360" w:lineRule="auto"/>
        <w:ind w:right="2268"/>
        <w:rPr>
          <w:rFonts w:ascii="Verdana" w:hAnsi="Verdana" w:cs="Arial"/>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827FE6" w:rsidRDefault="00827FE6" w:rsidP="00C61A93">
      <w:pPr>
        <w:tabs>
          <w:tab w:val="left" w:pos="6840"/>
        </w:tabs>
        <w:spacing w:line="360" w:lineRule="auto"/>
        <w:ind w:right="2268"/>
        <w:rPr>
          <w:rFonts w:ascii="Verdana" w:hAnsi="Verdana" w:cs="Arial"/>
          <w:b/>
          <w:sz w:val="22"/>
          <w:szCs w:val="22"/>
        </w:rPr>
      </w:pPr>
    </w:p>
    <w:p w:rsidR="00E10790" w:rsidRDefault="00230FC6" w:rsidP="00C61A93">
      <w:pPr>
        <w:tabs>
          <w:tab w:val="left" w:pos="6840"/>
        </w:tabs>
        <w:spacing w:line="360" w:lineRule="auto"/>
        <w:ind w:right="2268"/>
        <w:rPr>
          <w:rFonts w:ascii="Verdana" w:hAnsi="Verdana" w:cs="Arial"/>
          <w:b/>
          <w:sz w:val="21"/>
          <w:szCs w:val="21"/>
        </w:rPr>
      </w:pPr>
      <w:r>
        <w:rPr>
          <w:rFonts w:ascii="Verdana" w:hAnsi="Verdana" w:cs="Arial"/>
          <w:b/>
          <w:sz w:val="22"/>
          <w:szCs w:val="22"/>
        </w:rPr>
        <w:lastRenderedPageBreak/>
        <w:t>P</w:t>
      </w:r>
      <w:r w:rsidR="00CE6CC1" w:rsidRPr="00CE6CC1">
        <w:rPr>
          <w:rFonts w:ascii="Verdana" w:hAnsi="Verdana" w:cs="Arial"/>
          <w:b/>
          <w:sz w:val="22"/>
          <w:szCs w:val="22"/>
        </w:rPr>
        <w:t>ressebild</w:t>
      </w:r>
      <w:r w:rsidR="00E10790" w:rsidRPr="00E10790">
        <w:rPr>
          <w:rFonts w:ascii="Verdana" w:hAnsi="Verdana" w:cs="Arial"/>
          <w:b/>
          <w:sz w:val="21"/>
          <w:szCs w:val="21"/>
        </w:rPr>
        <w:t xml:space="preserve">: </w:t>
      </w:r>
    </w:p>
    <w:p w:rsidR="00C61A93" w:rsidRDefault="0037610C" w:rsidP="00C61A93">
      <w:pPr>
        <w:ind w:right="2268"/>
        <w:rPr>
          <w:rFonts w:ascii="Verdana" w:hAnsi="Verdana" w:cs="Arial"/>
          <w:b/>
          <w:sz w:val="21"/>
          <w:szCs w:val="21"/>
        </w:rPr>
      </w:pPr>
      <w:r>
        <w:rPr>
          <w:rFonts w:ascii="Verdana" w:hAnsi="Verdana" w:cs="Arial"/>
          <w:noProof/>
          <w:sz w:val="22"/>
          <w:szCs w:val="22"/>
        </w:rPr>
        <w:drawing>
          <wp:inline distT="0" distB="0" distL="0" distR="0">
            <wp:extent cx="4147277" cy="2791326"/>
            <wp:effectExtent l="0" t="0" r="571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203" b="16491"/>
                    <a:stretch/>
                  </pic:blipFill>
                  <pic:spPr bwMode="auto">
                    <a:xfrm>
                      <a:off x="0" y="0"/>
                      <a:ext cx="4155030" cy="279654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61A93" w:rsidRDefault="00C61A93" w:rsidP="00C61A93">
      <w:pPr>
        <w:ind w:right="2268"/>
        <w:rPr>
          <w:rFonts w:ascii="Verdana" w:hAnsi="Verdana" w:cs="Arial"/>
          <w:b/>
          <w:sz w:val="21"/>
          <w:szCs w:val="21"/>
        </w:rPr>
      </w:pPr>
    </w:p>
    <w:p w:rsidR="00C61A93" w:rsidRPr="0015488E" w:rsidRDefault="0015488E" w:rsidP="00C61A93">
      <w:pPr>
        <w:ind w:right="2268"/>
        <w:rPr>
          <w:rFonts w:ascii="Verdana" w:hAnsi="Verdana" w:cs="Arial"/>
          <w:bCs/>
          <w:sz w:val="21"/>
          <w:szCs w:val="21"/>
        </w:rPr>
      </w:pPr>
      <w:r w:rsidRPr="0015488E">
        <w:rPr>
          <w:rFonts w:ascii="Verdana" w:hAnsi="Verdana" w:cs="Arial"/>
          <w:bCs/>
          <w:sz w:val="21"/>
          <w:szCs w:val="21"/>
        </w:rPr>
        <w:t>„</w:t>
      </w:r>
      <w:r w:rsidR="000E0157" w:rsidRPr="0015488E">
        <w:rPr>
          <w:rFonts w:ascii="Verdana" w:hAnsi="Verdana" w:cs="Arial"/>
          <w:bCs/>
          <w:sz w:val="21"/>
          <w:szCs w:val="21"/>
        </w:rPr>
        <w:t xml:space="preserve">Bei Hochwasser ist oftmals </w:t>
      </w:r>
      <w:r w:rsidR="002E62E3" w:rsidRPr="0015488E">
        <w:rPr>
          <w:rFonts w:ascii="Verdana" w:hAnsi="Verdana" w:cs="Arial"/>
          <w:bCs/>
          <w:sz w:val="21"/>
          <w:szCs w:val="21"/>
        </w:rPr>
        <w:t>ein erhöhter Standort</w:t>
      </w:r>
      <w:r w:rsidR="000E0157" w:rsidRPr="0015488E">
        <w:rPr>
          <w:rFonts w:ascii="Verdana" w:hAnsi="Verdana" w:cs="Arial"/>
          <w:bCs/>
          <w:sz w:val="21"/>
          <w:szCs w:val="21"/>
        </w:rPr>
        <w:t xml:space="preserve"> der sicherste Platz für Wärmepumpen, Speichersysteme oder Lüftungsanlagen</w:t>
      </w:r>
      <w:r w:rsidRPr="0015488E">
        <w:rPr>
          <w:rFonts w:ascii="Verdana" w:hAnsi="Verdana" w:cs="Arial"/>
          <w:bCs/>
          <w:sz w:val="21"/>
          <w:szCs w:val="21"/>
        </w:rPr>
        <w:t xml:space="preserve">“, betont Karl </w:t>
      </w:r>
      <w:proofErr w:type="spellStart"/>
      <w:r w:rsidRPr="0015488E">
        <w:rPr>
          <w:rFonts w:ascii="Verdana" w:hAnsi="Verdana" w:cs="Arial"/>
          <w:bCs/>
          <w:sz w:val="21"/>
          <w:szCs w:val="21"/>
        </w:rPr>
        <w:t>Stuhlenmiller</w:t>
      </w:r>
      <w:proofErr w:type="spellEnd"/>
      <w:r w:rsidRPr="0015488E">
        <w:rPr>
          <w:rFonts w:ascii="Verdana" w:hAnsi="Verdana" w:cs="Arial"/>
          <w:bCs/>
          <w:sz w:val="21"/>
          <w:szCs w:val="21"/>
        </w:rPr>
        <w:t xml:space="preserve">, Geschäftsführer </w:t>
      </w:r>
      <w:proofErr w:type="spellStart"/>
      <w:r w:rsidRPr="0015488E">
        <w:rPr>
          <w:rFonts w:ascii="Verdana" w:hAnsi="Verdana" w:cs="Arial"/>
          <w:bCs/>
          <w:sz w:val="21"/>
          <w:szCs w:val="21"/>
        </w:rPr>
        <w:t>tecalor</w:t>
      </w:r>
      <w:proofErr w:type="spellEnd"/>
      <w:r w:rsidRPr="0015488E">
        <w:rPr>
          <w:rFonts w:ascii="Verdana" w:hAnsi="Verdana" w:cs="Arial"/>
          <w:bCs/>
          <w:sz w:val="21"/>
          <w:szCs w:val="21"/>
        </w:rPr>
        <w:t xml:space="preserve">. (QUELLE: </w:t>
      </w:r>
      <w:proofErr w:type="spellStart"/>
      <w:r w:rsidRPr="0015488E">
        <w:rPr>
          <w:rFonts w:ascii="Verdana" w:hAnsi="Verdana" w:cs="Arial"/>
          <w:bCs/>
          <w:sz w:val="21"/>
          <w:szCs w:val="21"/>
        </w:rPr>
        <w:t>tecalor</w:t>
      </w:r>
      <w:proofErr w:type="spellEnd"/>
      <w:r w:rsidRPr="0015488E">
        <w:rPr>
          <w:rFonts w:ascii="Verdana" w:hAnsi="Verdana" w:cs="Arial"/>
          <w:bCs/>
          <w:sz w:val="21"/>
          <w:szCs w:val="21"/>
        </w:rPr>
        <w:t>)</w:t>
      </w:r>
    </w:p>
    <w:p w:rsidR="00C61A93" w:rsidRDefault="00C61A93" w:rsidP="00C61A93">
      <w:pPr>
        <w:ind w:right="2268"/>
        <w:rPr>
          <w:rFonts w:ascii="Verdana" w:hAnsi="Verdana" w:cs="Arial"/>
          <w:b/>
          <w:sz w:val="21"/>
          <w:szCs w:val="21"/>
        </w:rPr>
      </w:pPr>
    </w:p>
    <w:p w:rsidR="0015488E" w:rsidRDefault="0015488E" w:rsidP="00C61A93">
      <w:pPr>
        <w:ind w:right="2268"/>
        <w:rPr>
          <w:rFonts w:ascii="Verdana" w:hAnsi="Verdana" w:cs="Arial"/>
          <w:b/>
          <w:sz w:val="21"/>
          <w:szCs w:val="21"/>
        </w:rPr>
      </w:pPr>
    </w:p>
    <w:p w:rsidR="0015488E" w:rsidRDefault="0015488E" w:rsidP="00C61A93">
      <w:pPr>
        <w:ind w:right="2268"/>
        <w:rPr>
          <w:rFonts w:ascii="Verdana" w:hAnsi="Verdana" w:cs="Arial"/>
          <w:b/>
          <w:sz w:val="21"/>
          <w:szCs w:val="21"/>
        </w:rPr>
      </w:pPr>
      <w:bookmarkStart w:id="0" w:name="_GoBack"/>
      <w:bookmarkEnd w:id="0"/>
    </w:p>
    <w:p w:rsidR="009F3F25" w:rsidRDefault="009F3F25">
      <w:pPr>
        <w:rPr>
          <w:rFonts w:ascii="Verdana" w:hAnsi="Verdana" w:cs="Arial"/>
          <w:sz w:val="22"/>
          <w:szCs w:val="22"/>
        </w:rPr>
      </w:pPr>
    </w:p>
    <w:p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10" w:history="1">
        <w:r w:rsidR="002D6022" w:rsidRPr="00842E21">
          <w:rPr>
            <w:rStyle w:val="Hyperlink"/>
            <w:rFonts w:ascii="Verdana" w:hAnsi="Verdana" w:cs="Arial"/>
            <w:sz w:val="22"/>
            <w:szCs w:val="22"/>
          </w:rPr>
          <w:t>www.tecalor.de/pressemeldungen</w:t>
        </w:r>
      </w:hyperlink>
      <w:r w:rsidR="002D6022">
        <w:rPr>
          <w:rFonts w:ascii="Verdana" w:hAnsi="Verdana" w:cs="Arial"/>
          <w:sz w:val="22"/>
          <w:szCs w:val="22"/>
        </w:rPr>
        <w:t xml:space="preserve"> </w:t>
      </w:r>
    </w:p>
    <w:p w:rsidR="001C51A4" w:rsidRDefault="001C51A4" w:rsidP="001C51A4">
      <w:pPr>
        <w:rPr>
          <w:rFonts w:ascii="Verdana" w:hAnsi="Verdana" w:cs="Arial"/>
          <w:sz w:val="22"/>
          <w:szCs w:val="22"/>
        </w:rPr>
      </w:pPr>
    </w:p>
    <w:p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rsidR="006A106F" w:rsidRPr="00FC6193" w:rsidRDefault="006A106F" w:rsidP="006A106F">
      <w:pPr>
        <w:tabs>
          <w:tab w:val="left" w:pos="2160"/>
        </w:tabs>
        <w:spacing w:line="360" w:lineRule="auto"/>
        <w:ind w:right="2268"/>
        <w:jc w:val="both"/>
        <w:rPr>
          <w:rFonts w:ascii="Verdana" w:hAnsi="Verdana" w:cs="Arial"/>
          <w:sz w:val="22"/>
          <w:szCs w:val="22"/>
        </w:rPr>
      </w:pPr>
    </w:p>
    <w:p w:rsidR="0031761E" w:rsidRPr="00FC6193" w:rsidRDefault="007449C5" w:rsidP="005501B2">
      <w:pPr>
        <w:pStyle w:val="Textkrper"/>
        <w:tabs>
          <w:tab w:val="left" w:pos="2127"/>
        </w:tabs>
        <w:ind w:right="2268"/>
        <w:rPr>
          <w:rFonts w:ascii="Verdana" w:hAnsi="Verdana" w:cs="Arial"/>
          <w:sz w:val="21"/>
          <w:szCs w:val="21"/>
        </w:rPr>
      </w:pPr>
      <w:proofErr w:type="spellStart"/>
      <w:r>
        <w:rPr>
          <w:rFonts w:ascii="Verdana" w:hAnsi="Verdana" w:cs="Arial"/>
          <w:b/>
          <w:sz w:val="21"/>
          <w:szCs w:val="21"/>
        </w:rPr>
        <w:t>t</w:t>
      </w:r>
      <w:r w:rsidR="006A106F" w:rsidRPr="00FC6193">
        <w:rPr>
          <w:rFonts w:ascii="Verdana" w:hAnsi="Verdana" w:cs="Arial"/>
          <w:b/>
          <w:sz w:val="21"/>
          <w:szCs w:val="21"/>
        </w:rPr>
        <w:t>ecalor</w:t>
      </w:r>
      <w:proofErr w:type="spellEnd"/>
      <w:r w:rsidR="006A106F" w:rsidRPr="00FC6193">
        <w:rPr>
          <w:rFonts w:ascii="Verdana" w:hAnsi="Verdana" w:cs="Arial"/>
          <w:b/>
          <w:sz w:val="21"/>
          <w:szCs w:val="21"/>
        </w:rPr>
        <w:t xml:space="preserve">: </w:t>
      </w:r>
      <w:r w:rsidR="006A106F" w:rsidRPr="00FC6193">
        <w:rPr>
          <w:rFonts w:ascii="Verdana" w:hAnsi="Verdana" w:cs="Arial"/>
          <w:b/>
          <w:sz w:val="21"/>
          <w:szCs w:val="21"/>
        </w:rPr>
        <w:tab/>
      </w:r>
      <w:proofErr w:type="spellStart"/>
      <w:r w:rsidR="0031761E">
        <w:rPr>
          <w:rFonts w:ascii="Verdana" w:hAnsi="Verdana" w:cs="Arial"/>
          <w:sz w:val="21"/>
          <w:szCs w:val="21"/>
        </w:rPr>
        <w:t>tecalor</w:t>
      </w:r>
      <w:proofErr w:type="spellEnd"/>
      <w:r w:rsidR="0031761E">
        <w:rPr>
          <w:rFonts w:ascii="Verdana" w:hAnsi="Verdana" w:cs="Arial"/>
          <w:sz w:val="21"/>
          <w:szCs w:val="21"/>
        </w:rPr>
        <w:t xml:space="preserve"> GmbH</w:t>
      </w:r>
    </w:p>
    <w:p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rsidR="006A106F" w:rsidRPr="00FC6193" w:rsidRDefault="006A106F" w:rsidP="006A106F">
      <w:pPr>
        <w:spacing w:line="360" w:lineRule="auto"/>
        <w:ind w:left="1416" w:right="2268" w:firstLine="708"/>
        <w:jc w:val="both"/>
        <w:rPr>
          <w:rFonts w:ascii="Verdana" w:hAnsi="Verdana" w:cs="Arial"/>
          <w:sz w:val="22"/>
          <w:szCs w:val="22"/>
        </w:rPr>
      </w:pPr>
    </w:p>
    <w:p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1"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2"/>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B1" w:rsidRDefault="00A747B1" w:rsidP="004C231C">
      <w:r>
        <w:separator/>
      </w:r>
    </w:p>
  </w:endnote>
  <w:endnote w:type="continuationSeparator" w:id="0">
    <w:p w:rsidR="00A747B1" w:rsidRDefault="00A747B1"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B1" w:rsidRDefault="00A747B1" w:rsidP="004C231C">
      <w:r>
        <w:separator/>
      </w:r>
    </w:p>
  </w:footnote>
  <w:footnote w:type="continuationSeparator" w:id="0">
    <w:p w:rsidR="00A747B1" w:rsidRDefault="00A747B1"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27" w:rsidRDefault="00664B27">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7CE6AF"/>
    <w:multiLevelType w:val="hybridMultilevel"/>
    <w:tmpl w:val="8DBC6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6B10E1C2"/>
    <w:lvl w:ilvl="0">
      <w:start w:val="1"/>
      <w:numFmt w:val="decimal"/>
      <w:lvlText w:val="%1."/>
      <w:lvlJc w:val="left"/>
      <w:pPr>
        <w:tabs>
          <w:tab w:val="num" w:pos="1492"/>
        </w:tabs>
        <w:ind w:left="1492" w:hanging="360"/>
      </w:pPr>
    </w:lvl>
  </w:abstractNum>
  <w:abstractNum w:abstractNumId="3">
    <w:nsid w:val="FFFFFF7D"/>
    <w:multiLevelType w:val="singleLevel"/>
    <w:tmpl w:val="43AA4322"/>
    <w:lvl w:ilvl="0">
      <w:start w:val="1"/>
      <w:numFmt w:val="decimal"/>
      <w:lvlText w:val="%1."/>
      <w:lvlJc w:val="left"/>
      <w:pPr>
        <w:tabs>
          <w:tab w:val="num" w:pos="1209"/>
        </w:tabs>
        <w:ind w:left="1209" w:hanging="360"/>
      </w:pPr>
    </w:lvl>
  </w:abstractNum>
  <w:abstractNum w:abstractNumId="4">
    <w:nsid w:val="FFFFFF7E"/>
    <w:multiLevelType w:val="singleLevel"/>
    <w:tmpl w:val="BF1E6614"/>
    <w:lvl w:ilvl="0">
      <w:start w:val="1"/>
      <w:numFmt w:val="decimal"/>
      <w:lvlText w:val="%1."/>
      <w:lvlJc w:val="left"/>
      <w:pPr>
        <w:tabs>
          <w:tab w:val="num" w:pos="926"/>
        </w:tabs>
        <w:ind w:left="926" w:hanging="360"/>
      </w:pPr>
    </w:lvl>
  </w:abstractNum>
  <w:abstractNum w:abstractNumId="5">
    <w:nsid w:val="FFFFFF7F"/>
    <w:multiLevelType w:val="singleLevel"/>
    <w:tmpl w:val="45900322"/>
    <w:lvl w:ilvl="0">
      <w:start w:val="1"/>
      <w:numFmt w:val="decimal"/>
      <w:lvlText w:val="%1."/>
      <w:lvlJc w:val="left"/>
      <w:pPr>
        <w:tabs>
          <w:tab w:val="num" w:pos="643"/>
        </w:tabs>
        <w:ind w:left="643" w:hanging="360"/>
      </w:pPr>
    </w:lvl>
  </w:abstractNum>
  <w:abstractNum w:abstractNumId="6">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EC46C0F4"/>
    <w:lvl w:ilvl="0">
      <w:start w:val="1"/>
      <w:numFmt w:val="decimal"/>
      <w:lvlText w:val="%1."/>
      <w:lvlJc w:val="left"/>
      <w:pPr>
        <w:tabs>
          <w:tab w:val="num" w:pos="360"/>
        </w:tabs>
        <w:ind w:left="360" w:hanging="360"/>
      </w:pPr>
    </w:lvl>
  </w:abstractNum>
  <w:abstractNum w:abstractNumId="11">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2">
    <w:nsid w:val="12487EE3"/>
    <w:multiLevelType w:val="hybridMultilevel"/>
    <w:tmpl w:val="3A3EC88E"/>
    <w:lvl w:ilvl="0" w:tplc="36F0F7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59A55727"/>
    <w:multiLevelType w:val="hybridMultilevel"/>
    <w:tmpl w:val="753C0A76"/>
    <w:lvl w:ilvl="0" w:tplc="5FDE479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7E43619"/>
    <w:multiLevelType w:val="hybridMultilevel"/>
    <w:tmpl w:val="520AE0BC"/>
    <w:lvl w:ilvl="0" w:tplc="C4B4A6D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
  </w:num>
  <w:num w:numId="12">
    <w:abstractNumId w:val="14"/>
  </w:num>
  <w:num w:numId="13">
    <w:abstractNumId w:val="13"/>
  </w:num>
  <w:num w:numId="14">
    <w:abstractNumId w:val="16"/>
  </w:num>
  <w:num w:numId="15">
    <w:abstractNumId w:val="15"/>
  </w:num>
  <w:num w:numId="16">
    <w:abstractNumId w:val="12"/>
  </w:num>
  <w:num w:numId="17">
    <w:abstractNumId w:val="0"/>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53DE8"/>
    <w:rsid w:val="00000E98"/>
    <w:rsid w:val="0000564A"/>
    <w:rsid w:val="000062FD"/>
    <w:rsid w:val="0002419D"/>
    <w:rsid w:val="00030376"/>
    <w:rsid w:val="0003085B"/>
    <w:rsid w:val="000318D0"/>
    <w:rsid w:val="00032408"/>
    <w:rsid w:val="00040C77"/>
    <w:rsid w:val="0004621D"/>
    <w:rsid w:val="00050D64"/>
    <w:rsid w:val="0005519A"/>
    <w:rsid w:val="00057B7E"/>
    <w:rsid w:val="00066BBC"/>
    <w:rsid w:val="00073077"/>
    <w:rsid w:val="0007696A"/>
    <w:rsid w:val="0007722D"/>
    <w:rsid w:val="00081F15"/>
    <w:rsid w:val="000922CE"/>
    <w:rsid w:val="00097C07"/>
    <w:rsid w:val="000A0F95"/>
    <w:rsid w:val="000A14F2"/>
    <w:rsid w:val="000A16B2"/>
    <w:rsid w:val="000A6B09"/>
    <w:rsid w:val="000C15B9"/>
    <w:rsid w:val="000C49C4"/>
    <w:rsid w:val="000C4B30"/>
    <w:rsid w:val="000C6BC1"/>
    <w:rsid w:val="000C7841"/>
    <w:rsid w:val="000D0A49"/>
    <w:rsid w:val="000E0157"/>
    <w:rsid w:val="000E0706"/>
    <w:rsid w:val="000E630F"/>
    <w:rsid w:val="001064B3"/>
    <w:rsid w:val="00112A2D"/>
    <w:rsid w:val="00116541"/>
    <w:rsid w:val="00121BF6"/>
    <w:rsid w:val="00130253"/>
    <w:rsid w:val="00135DBF"/>
    <w:rsid w:val="00136FC9"/>
    <w:rsid w:val="00153ACF"/>
    <w:rsid w:val="0015488E"/>
    <w:rsid w:val="00174E9B"/>
    <w:rsid w:val="00184026"/>
    <w:rsid w:val="00186972"/>
    <w:rsid w:val="00186C65"/>
    <w:rsid w:val="001915B6"/>
    <w:rsid w:val="0019503A"/>
    <w:rsid w:val="001A1B4E"/>
    <w:rsid w:val="001A631E"/>
    <w:rsid w:val="001B3D79"/>
    <w:rsid w:val="001C01F5"/>
    <w:rsid w:val="001C0E4E"/>
    <w:rsid w:val="001C51A4"/>
    <w:rsid w:val="001D1E8E"/>
    <w:rsid w:val="001D3FEB"/>
    <w:rsid w:val="001D53FA"/>
    <w:rsid w:val="001E49D0"/>
    <w:rsid w:val="001E5BF5"/>
    <w:rsid w:val="001E7686"/>
    <w:rsid w:val="001F099D"/>
    <w:rsid w:val="001F1CF6"/>
    <w:rsid w:val="001F2FF1"/>
    <w:rsid w:val="001F5377"/>
    <w:rsid w:val="001F6499"/>
    <w:rsid w:val="00201DA5"/>
    <w:rsid w:val="00207AE5"/>
    <w:rsid w:val="00211B37"/>
    <w:rsid w:val="00217942"/>
    <w:rsid w:val="0022099E"/>
    <w:rsid w:val="00227ED1"/>
    <w:rsid w:val="00230848"/>
    <w:rsid w:val="00230AFA"/>
    <w:rsid w:val="00230FC6"/>
    <w:rsid w:val="002310D5"/>
    <w:rsid w:val="002315A1"/>
    <w:rsid w:val="0025353C"/>
    <w:rsid w:val="00263758"/>
    <w:rsid w:val="00272E7B"/>
    <w:rsid w:val="00280710"/>
    <w:rsid w:val="002A45C4"/>
    <w:rsid w:val="002C4402"/>
    <w:rsid w:val="002D0858"/>
    <w:rsid w:val="002D6022"/>
    <w:rsid w:val="002E5B6F"/>
    <w:rsid w:val="002E62E3"/>
    <w:rsid w:val="002F5442"/>
    <w:rsid w:val="003161D4"/>
    <w:rsid w:val="0031761E"/>
    <w:rsid w:val="00326F6E"/>
    <w:rsid w:val="0033298B"/>
    <w:rsid w:val="003336D8"/>
    <w:rsid w:val="003354C7"/>
    <w:rsid w:val="003402E3"/>
    <w:rsid w:val="003605DF"/>
    <w:rsid w:val="00361D53"/>
    <w:rsid w:val="00365A17"/>
    <w:rsid w:val="00372E52"/>
    <w:rsid w:val="00373369"/>
    <w:rsid w:val="00373F31"/>
    <w:rsid w:val="0037610C"/>
    <w:rsid w:val="00381DA2"/>
    <w:rsid w:val="0038209F"/>
    <w:rsid w:val="00382794"/>
    <w:rsid w:val="00387BDD"/>
    <w:rsid w:val="0039606B"/>
    <w:rsid w:val="0039641B"/>
    <w:rsid w:val="00396615"/>
    <w:rsid w:val="003A0298"/>
    <w:rsid w:val="003A762B"/>
    <w:rsid w:val="003B09FE"/>
    <w:rsid w:val="003B2E8F"/>
    <w:rsid w:val="003E1701"/>
    <w:rsid w:val="003E1731"/>
    <w:rsid w:val="003E1E00"/>
    <w:rsid w:val="003F0F76"/>
    <w:rsid w:val="003F5EBB"/>
    <w:rsid w:val="00400F83"/>
    <w:rsid w:val="00401981"/>
    <w:rsid w:val="00413A6C"/>
    <w:rsid w:val="00414059"/>
    <w:rsid w:val="00425A8C"/>
    <w:rsid w:val="004302A2"/>
    <w:rsid w:val="0043177C"/>
    <w:rsid w:val="004438ED"/>
    <w:rsid w:val="00445925"/>
    <w:rsid w:val="004463DF"/>
    <w:rsid w:val="004604F2"/>
    <w:rsid w:val="00463158"/>
    <w:rsid w:val="00466830"/>
    <w:rsid w:val="00467662"/>
    <w:rsid w:val="0047247F"/>
    <w:rsid w:val="0049261C"/>
    <w:rsid w:val="0049478C"/>
    <w:rsid w:val="004A1AF5"/>
    <w:rsid w:val="004B4E6F"/>
    <w:rsid w:val="004B63A0"/>
    <w:rsid w:val="004B6426"/>
    <w:rsid w:val="004C231C"/>
    <w:rsid w:val="004C7B8E"/>
    <w:rsid w:val="004D57FE"/>
    <w:rsid w:val="004E14CA"/>
    <w:rsid w:val="004F58F6"/>
    <w:rsid w:val="004F782A"/>
    <w:rsid w:val="00513188"/>
    <w:rsid w:val="00520218"/>
    <w:rsid w:val="005221FF"/>
    <w:rsid w:val="005239BC"/>
    <w:rsid w:val="00531476"/>
    <w:rsid w:val="00536ECD"/>
    <w:rsid w:val="00544A56"/>
    <w:rsid w:val="005501B2"/>
    <w:rsid w:val="00551AFA"/>
    <w:rsid w:val="005545C4"/>
    <w:rsid w:val="00565BB1"/>
    <w:rsid w:val="00565D43"/>
    <w:rsid w:val="005700EF"/>
    <w:rsid w:val="00573CF7"/>
    <w:rsid w:val="00574458"/>
    <w:rsid w:val="00574D6A"/>
    <w:rsid w:val="00574E7F"/>
    <w:rsid w:val="00575F80"/>
    <w:rsid w:val="005816A8"/>
    <w:rsid w:val="00586DD1"/>
    <w:rsid w:val="005A077B"/>
    <w:rsid w:val="005A2B3F"/>
    <w:rsid w:val="005A75D7"/>
    <w:rsid w:val="005C212A"/>
    <w:rsid w:val="005C28FF"/>
    <w:rsid w:val="005C4A2B"/>
    <w:rsid w:val="005C507E"/>
    <w:rsid w:val="005C53B5"/>
    <w:rsid w:val="005C7A52"/>
    <w:rsid w:val="005D135A"/>
    <w:rsid w:val="005D54D8"/>
    <w:rsid w:val="005E2907"/>
    <w:rsid w:val="005E3AC6"/>
    <w:rsid w:val="005F7B39"/>
    <w:rsid w:val="0060599B"/>
    <w:rsid w:val="00611AE4"/>
    <w:rsid w:val="00612D63"/>
    <w:rsid w:val="00615056"/>
    <w:rsid w:val="00625BB2"/>
    <w:rsid w:val="00637A92"/>
    <w:rsid w:val="00640D34"/>
    <w:rsid w:val="0064333D"/>
    <w:rsid w:val="00644A2E"/>
    <w:rsid w:val="006469C1"/>
    <w:rsid w:val="006475B3"/>
    <w:rsid w:val="006559AB"/>
    <w:rsid w:val="00657452"/>
    <w:rsid w:val="00661E6B"/>
    <w:rsid w:val="0066307F"/>
    <w:rsid w:val="00664B27"/>
    <w:rsid w:val="00665169"/>
    <w:rsid w:val="0068440D"/>
    <w:rsid w:val="0068590F"/>
    <w:rsid w:val="00693834"/>
    <w:rsid w:val="006A00C0"/>
    <w:rsid w:val="006A106F"/>
    <w:rsid w:val="006B0F46"/>
    <w:rsid w:val="006B14E2"/>
    <w:rsid w:val="006C7455"/>
    <w:rsid w:val="006D5BB0"/>
    <w:rsid w:val="006E091F"/>
    <w:rsid w:val="006E34D5"/>
    <w:rsid w:val="006E4688"/>
    <w:rsid w:val="006F2C04"/>
    <w:rsid w:val="00701BAA"/>
    <w:rsid w:val="00702CB0"/>
    <w:rsid w:val="0071173C"/>
    <w:rsid w:val="00711B49"/>
    <w:rsid w:val="00715C25"/>
    <w:rsid w:val="007161C0"/>
    <w:rsid w:val="00722573"/>
    <w:rsid w:val="00722B77"/>
    <w:rsid w:val="007269A1"/>
    <w:rsid w:val="00731B4D"/>
    <w:rsid w:val="00733F6C"/>
    <w:rsid w:val="007449C5"/>
    <w:rsid w:val="00751764"/>
    <w:rsid w:val="00751B79"/>
    <w:rsid w:val="007605B9"/>
    <w:rsid w:val="00760911"/>
    <w:rsid w:val="00763387"/>
    <w:rsid w:val="00763EDB"/>
    <w:rsid w:val="00765E20"/>
    <w:rsid w:val="00780A9C"/>
    <w:rsid w:val="007844EF"/>
    <w:rsid w:val="007919B0"/>
    <w:rsid w:val="007941CD"/>
    <w:rsid w:val="007A08B9"/>
    <w:rsid w:val="007B70B9"/>
    <w:rsid w:val="007C05C7"/>
    <w:rsid w:val="007C43F6"/>
    <w:rsid w:val="007E0B15"/>
    <w:rsid w:val="007E7F47"/>
    <w:rsid w:val="007F3AE4"/>
    <w:rsid w:val="007F5D52"/>
    <w:rsid w:val="008012FE"/>
    <w:rsid w:val="0080564F"/>
    <w:rsid w:val="00820735"/>
    <w:rsid w:val="008224E1"/>
    <w:rsid w:val="00825754"/>
    <w:rsid w:val="00827FE6"/>
    <w:rsid w:val="00830D2E"/>
    <w:rsid w:val="00833415"/>
    <w:rsid w:val="00833505"/>
    <w:rsid w:val="008414D2"/>
    <w:rsid w:val="00843A0C"/>
    <w:rsid w:val="00843A51"/>
    <w:rsid w:val="00844DF6"/>
    <w:rsid w:val="00855E40"/>
    <w:rsid w:val="0085762D"/>
    <w:rsid w:val="0086304B"/>
    <w:rsid w:val="0087259D"/>
    <w:rsid w:val="0087512A"/>
    <w:rsid w:val="0087663A"/>
    <w:rsid w:val="008778F9"/>
    <w:rsid w:val="00880770"/>
    <w:rsid w:val="00890EB1"/>
    <w:rsid w:val="00891B72"/>
    <w:rsid w:val="008A6EB9"/>
    <w:rsid w:val="008B0B4F"/>
    <w:rsid w:val="008B0ED2"/>
    <w:rsid w:val="008B53DE"/>
    <w:rsid w:val="008B5F42"/>
    <w:rsid w:val="008B64A0"/>
    <w:rsid w:val="008D0FFF"/>
    <w:rsid w:val="008D1A2F"/>
    <w:rsid w:val="008E13ED"/>
    <w:rsid w:val="008F7420"/>
    <w:rsid w:val="00900C51"/>
    <w:rsid w:val="00905BFB"/>
    <w:rsid w:val="00912679"/>
    <w:rsid w:val="00912BA0"/>
    <w:rsid w:val="0091708B"/>
    <w:rsid w:val="009300A3"/>
    <w:rsid w:val="009357E8"/>
    <w:rsid w:val="00936EEB"/>
    <w:rsid w:val="00945147"/>
    <w:rsid w:val="009539FD"/>
    <w:rsid w:val="00960FF2"/>
    <w:rsid w:val="00966D15"/>
    <w:rsid w:val="00977034"/>
    <w:rsid w:val="00986EE1"/>
    <w:rsid w:val="0099182E"/>
    <w:rsid w:val="009948B2"/>
    <w:rsid w:val="009A255C"/>
    <w:rsid w:val="009A4D7C"/>
    <w:rsid w:val="009A594A"/>
    <w:rsid w:val="009B3DA1"/>
    <w:rsid w:val="009C7D35"/>
    <w:rsid w:val="009D25D0"/>
    <w:rsid w:val="009D3ECF"/>
    <w:rsid w:val="009D5552"/>
    <w:rsid w:val="009E4184"/>
    <w:rsid w:val="009F15A7"/>
    <w:rsid w:val="009F2018"/>
    <w:rsid w:val="009F3F25"/>
    <w:rsid w:val="009F5520"/>
    <w:rsid w:val="009F7344"/>
    <w:rsid w:val="00A01BC1"/>
    <w:rsid w:val="00A05B16"/>
    <w:rsid w:val="00A115F8"/>
    <w:rsid w:val="00A14364"/>
    <w:rsid w:val="00A14502"/>
    <w:rsid w:val="00A157C9"/>
    <w:rsid w:val="00A17ADC"/>
    <w:rsid w:val="00A20E84"/>
    <w:rsid w:val="00A26A8B"/>
    <w:rsid w:val="00A300BB"/>
    <w:rsid w:val="00A320C2"/>
    <w:rsid w:val="00A3238C"/>
    <w:rsid w:val="00A34BD2"/>
    <w:rsid w:val="00A34C74"/>
    <w:rsid w:val="00A355AA"/>
    <w:rsid w:val="00A51FA2"/>
    <w:rsid w:val="00A64D3A"/>
    <w:rsid w:val="00A7083C"/>
    <w:rsid w:val="00A74301"/>
    <w:rsid w:val="00A747B1"/>
    <w:rsid w:val="00A841C5"/>
    <w:rsid w:val="00A84D9C"/>
    <w:rsid w:val="00A86630"/>
    <w:rsid w:val="00A87D19"/>
    <w:rsid w:val="00A9110A"/>
    <w:rsid w:val="00AA2FBF"/>
    <w:rsid w:val="00AA5596"/>
    <w:rsid w:val="00AB48BD"/>
    <w:rsid w:val="00AC4EF2"/>
    <w:rsid w:val="00AD135E"/>
    <w:rsid w:val="00AD17B5"/>
    <w:rsid w:val="00AE1ECD"/>
    <w:rsid w:val="00AE68F2"/>
    <w:rsid w:val="00AF2197"/>
    <w:rsid w:val="00AF51EB"/>
    <w:rsid w:val="00AF6D91"/>
    <w:rsid w:val="00B001B6"/>
    <w:rsid w:val="00B00A6D"/>
    <w:rsid w:val="00B07849"/>
    <w:rsid w:val="00B078EB"/>
    <w:rsid w:val="00B13650"/>
    <w:rsid w:val="00B165BF"/>
    <w:rsid w:val="00B23A48"/>
    <w:rsid w:val="00B249D3"/>
    <w:rsid w:val="00B25DE2"/>
    <w:rsid w:val="00B31F14"/>
    <w:rsid w:val="00B34CB7"/>
    <w:rsid w:val="00B424DC"/>
    <w:rsid w:val="00B42E30"/>
    <w:rsid w:val="00B47190"/>
    <w:rsid w:val="00B53DE8"/>
    <w:rsid w:val="00B53E54"/>
    <w:rsid w:val="00B565F0"/>
    <w:rsid w:val="00B709EE"/>
    <w:rsid w:val="00B723B1"/>
    <w:rsid w:val="00B76308"/>
    <w:rsid w:val="00B84625"/>
    <w:rsid w:val="00B96B52"/>
    <w:rsid w:val="00BA29FA"/>
    <w:rsid w:val="00BA2EA5"/>
    <w:rsid w:val="00BA4E21"/>
    <w:rsid w:val="00BA5C01"/>
    <w:rsid w:val="00BB4DB4"/>
    <w:rsid w:val="00BD2846"/>
    <w:rsid w:val="00BE02E3"/>
    <w:rsid w:val="00BE17AE"/>
    <w:rsid w:val="00BE2CF4"/>
    <w:rsid w:val="00BE6D5F"/>
    <w:rsid w:val="00C04D7A"/>
    <w:rsid w:val="00C13B28"/>
    <w:rsid w:val="00C15396"/>
    <w:rsid w:val="00C17E80"/>
    <w:rsid w:val="00C25793"/>
    <w:rsid w:val="00C360FE"/>
    <w:rsid w:val="00C37FF1"/>
    <w:rsid w:val="00C56D48"/>
    <w:rsid w:val="00C60678"/>
    <w:rsid w:val="00C61A93"/>
    <w:rsid w:val="00C66C92"/>
    <w:rsid w:val="00C71DDF"/>
    <w:rsid w:val="00C746A8"/>
    <w:rsid w:val="00C75ADD"/>
    <w:rsid w:val="00C84095"/>
    <w:rsid w:val="00C93509"/>
    <w:rsid w:val="00C93B4D"/>
    <w:rsid w:val="00C9605B"/>
    <w:rsid w:val="00C962AF"/>
    <w:rsid w:val="00C96A34"/>
    <w:rsid w:val="00CA1A90"/>
    <w:rsid w:val="00CA686B"/>
    <w:rsid w:val="00CB7254"/>
    <w:rsid w:val="00CE6CC1"/>
    <w:rsid w:val="00CE7C78"/>
    <w:rsid w:val="00CF02CC"/>
    <w:rsid w:val="00CF1F84"/>
    <w:rsid w:val="00CF73F4"/>
    <w:rsid w:val="00D00533"/>
    <w:rsid w:val="00D03C58"/>
    <w:rsid w:val="00D077D6"/>
    <w:rsid w:val="00D14D70"/>
    <w:rsid w:val="00D154E0"/>
    <w:rsid w:val="00D17B8B"/>
    <w:rsid w:val="00D20EF8"/>
    <w:rsid w:val="00D24145"/>
    <w:rsid w:val="00D25185"/>
    <w:rsid w:val="00D270FB"/>
    <w:rsid w:val="00D4408D"/>
    <w:rsid w:val="00D51A4A"/>
    <w:rsid w:val="00D52B14"/>
    <w:rsid w:val="00D5440C"/>
    <w:rsid w:val="00D62AE5"/>
    <w:rsid w:val="00D6726A"/>
    <w:rsid w:val="00D678FD"/>
    <w:rsid w:val="00D719E9"/>
    <w:rsid w:val="00D71E86"/>
    <w:rsid w:val="00D80023"/>
    <w:rsid w:val="00D85FA1"/>
    <w:rsid w:val="00DA216A"/>
    <w:rsid w:val="00DB079C"/>
    <w:rsid w:val="00DC0C7A"/>
    <w:rsid w:val="00DD2851"/>
    <w:rsid w:val="00DD36C1"/>
    <w:rsid w:val="00DD535B"/>
    <w:rsid w:val="00DE4F7A"/>
    <w:rsid w:val="00E00293"/>
    <w:rsid w:val="00E023B3"/>
    <w:rsid w:val="00E03D27"/>
    <w:rsid w:val="00E10790"/>
    <w:rsid w:val="00E15216"/>
    <w:rsid w:val="00E16AB3"/>
    <w:rsid w:val="00E364B3"/>
    <w:rsid w:val="00E44470"/>
    <w:rsid w:val="00E50408"/>
    <w:rsid w:val="00E711A2"/>
    <w:rsid w:val="00E7358D"/>
    <w:rsid w:val="00E742E2"/>
    <w:rsid w:val="00E80EAB"/>
    <w:rsid w:val="00E86250"/>
    <w:rsid w:val="00EA0483"/>
    <w:rsid w:val="00EA674E"/>
    <w:rsid w:val="00EA7002"/>
    <w:rsid w:val="00EB1756"/>
    <w:rsid w:val="00EC778E"/>
    <w:rsid w:val="00ED3D84"/>
    <w:rsid w:val="00ED7583"/>
    <w:rsid w:val="00EE11CC"/>
    <w:rsid w:val="00EF309B"/>
    <w:rsid w:val="00EF3356"/>
    <w:rsid w:val="00F0065F"/>
    <w:rsid w:val="00F01CDF"/>
    <w:rsid w:val="00F138B2"/>
    <w:rsid w:val="00F214E7"/>
    <w:rsid w:val="00F2436B"/>
    <w:rsid w:val="00F2705A"/>
    <w:rsid w:val="00F27949"/>
    <w:rsid w:val="00F328DF"/>
    <w:rsid w:val="00F3307A"/>
    <w:rsid w:val="00F35177"/>
    <w:rsid w:val="00F35468"/>
    <w:rsid w:val="00F469BA"/>
    <w:rsid w:val="00F50914"/>
    <w:rsid w:val="00F51BAB"/>
    <w:rsid w:val="00F52B63"/>
    <w:rsid w:val="00F61E4C"/>
    <w:rsid w:val="00F631D1"/>
    <w:rsid w:val="00F7515A"/>
    <w:rsid w:val="00F819AE"/>
    <w:rsid w:val="00F81D94"/>
    <w:rsid w:val="00F82E5B"/>
    <w:rsid w:val="00F94AE9"/>
    <w:rsid w:val="00F96D63"/>
    <w:rsid w:val="00FB1F6F"/>
    <w:rsid w:val="00FB20E3"/>
    <w:rsid w:val="00FB68D9"/>
    <w:rsid w:val="00FC02F1"/>
    <w:rsid w:val="00FC1DD8"/>
    <w:rsid w:val="00FC36D1"/>
    <w:rsid w:val="00FC5CD4"/>
    <w:rsid w:val="00FC6193"/>
    <w:rsid w:val="00FD227C"/>
    <w:rsid w:val="00FD23A2"/>
    <w:rsid w:val="00FD4D52"/>
    <w:rsid w:val="00FE0C10"/>
    <w:rsid w:val="00FE725F"/>
    <w:rsid w:val="00FF41E0"/>
    <w:rsid w:val="00FF4CDE"/>
    <w:rsid w:val="00FF7A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annotation text"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character" w:customStyle="1" w:styleId="NichtaufgelsteErwhnung2">
    <w:name w:val="Nicht aufgelöste Erwähnung2"/>
    <w:basedOn w:val="Absatz-Standardschriftart"/>
    <w:uiPriority w:val="99"/>
    <w:semiHidden/>
    <w:unhideWhenUsed/>
    <w:rsid w:val="0007722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D6022"/>
    <w:rPr>
      <w:color w:val="605E5C"/>
      <w:shd w:val="clear" w:color="auto" w:fill="E1DFDD"/>
    </w:rPr>
  </w:style>
  <w:style w:type="character" w:styleId="BesuchterHyperlink">
    <w:name w:val="FollowedHyperlink"/>
    <w:basedOn w:val="Absatz-Standardschriftart"/>
    <w:semiHidden/>
    <w:unhideWhenUsed/>
    <w:rsid w:val="002D6022"/>
    <w:rPr>
      <w:color w:val="800080" w:themeColor="followedHyperlink"/>
      <w:u w:val="single"/>
    </w:rPr>
  </w:style>
  <w:style w:type="character" w:customStyle="1" w:styleId="NichtaufgelsteErwhnung4">
    <w:name w:val="Nicht aufgelöste Erwähnung4"/>
    <w:basedOn w:val="Absatz-Standardschriftart"/>
    <w:uiPriority w:val="99"/>
    <w:semiHidden/>
    <w:unhideWhenUsed/>
    <w:rsid w:val="00D005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861643">
      <w:bodyDiv w:val="1"/>
      <w:marLeft w:val="0"/>
      <w:marRight w:val="0"/>
      <w:marTop w:val="0"/>
      <w:marBottom w:val="0"/>
      <w:divBdr>
        <w:top w:val="none" w:sz="0" w:space="0" w:color="auto"/>
        <w:left w:val="none" w:sz="0" w:space="0" w:color="auto"/>
        <w:bottom w:val="none" w:sz="0" w:space="0" w:color="auto"/>
        <w:right w:val="none" w:sz="0" w:space="0" w:color="auto"/>
      </w:divBdr>
    </w:div>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39601416">
      <w:bodyDiv w:val="1"/>
      <w:marLeft w:val="0"/>
      <w:marRight w:val="0"/>
      <w:marTop w:val="0"/>
      <w:marBottom w:val="0"/>
      <w:divBdr>
        <w:top w:val="none" w:sz="0" w:space="0" w:color="auto"/>
        <w:left w:val="none" w:sz="0" w:space="0" w:color="auto"/>
        <w:bottom w:val="none" w:sz="0" w:space="0" w:color="auto"/>
        <w:right w:val="none" w:sz="0" w:space="0" w:color="auto"/>
      </w:divBdr>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578897275">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alor.de/hochwasserhilfe-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ja.Knoke@tecalor.de" TargetMode="External"/><Relationship Id="rId5" Type="http://schemas.openxmlformats.org/officeDocument/2006/relationships/webSettings" Target="webSettings.xml"/><Relationship Id="rId10" Type="http://schemas.openxmlformats.org/officeDocument/2006/relationships/hyperlink" Target="http://www.tecalor.de/pressemeldung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A10F-85AC-47DC-9721-9F204885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2635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3047</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2016-03-30T15:26:00Z</cp:lastPrinted>
  <dcterms:created xsi:type="dcterms:W3CDTF">2021-08-02T13:24:00Z</dcterms:created>
  <dcterms:modified xsi:type="dcterms:W3CDTF">2021-08-02T14:26:00Z</dcterms:modified>
</cp:coreProperties>
</file>