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5925" w14:textId="2A7EA9C5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bookmarkStart w:id="0" w:name="_GoBack"/>
      <w:bookmarkEnd w:id="0"/>
      <w:r w:rsidRPr="00D17B8B">
        <w:rPr>
          <w:rFonts w:ascii="Verdana" w:hAnsi="Verdana"/>
          <w:sz w:val="22"/>
        </w:rPr>
        <w:t xml:space="preserve">Presseinformation </w:t>
      </w:r>
      <w:r w:rsidR="00A34C74">
        <w:rPr>
          <w:rFonts w:ascii="Verdana" w:hAnsi="Verdana"/>
          <w:sz w:val="22"/>
        </w:rPr>
        <w:t>4</w:t>
      </w:r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7D6EBA0D" w14:textId="1213A6B7" w:rsidR="0031761E" w:rsidRPr="00372E52" w:rsidRDefault="00A34C74" w:rsidP="004C231C">
      <w:pPr>
        <w:ind w:right="2268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Soft-Start mit Hybrid-Heizung</w:t>
      </w: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50A23B5B" w14:textId="6F4CE36A" w:rsidR="00D5440C" w:rsidRPr="00D5440C" w:rsidRDefault="00574458" w:rsidP="00D5440C">
      <w:pPr>
        <w:ind w:right="2268"/>
        <w:rPr>
          <w:rFonts w:ascii="Verdana" w:hAnsi="Verdana" w:cs="Arial"/>
          <w:b/>
          <w:bCs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tecalor unterstützt Fachhandwerker bei Verkauf und Installation von Wärmepumpen-Lösungen an bisher unsichere Endkunden, die nicht ganz auf ihr bisheriges Heizungssystem verzichten wollen.</w:t>
      </w:r>
    </w:p>
    <w:p w14:paraId="4EE34E39" w14:textId="67B0E2D8"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D9027F5" w14:textId="61D4390A" w:rsidR="003354C7" w:rsidRDefault="00A34C7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Alt und neu kombinieren – das ist für viele Hausbesitzer der Start in die Umwelttechnologie. „Was bei Autos im Trend liegt, findet auch immer mehr im privaten Heizungskeller seinen Platz“, weiß tecalor-Geschäftsführer Karl Stuhlenmiller. Sein Unternehmen bietet mit dem Hybrid-Set mit Luft-Wasser-Wärmepumpe seinen Marktpartnern aus dem Fachhandwerk eine </w:t>
      </w:r>
      <w:r w:rsidR="0080564F">
        <w:rPr>
          <w:rFonts w:ascii="Verdana" w:hAnsi="Verdana" w:cs="Arial"/>
          <w:sz w:val="22"/>
          <w:szCs w:val="22"/>
        </w:rPr>
        <w:t>ausgereifte</w:t>
      </w:r>
      <w:r>
        <w:rPr>
          <w:rFonts w:ascii="Verdana" w:hAnsi="Verdana" w:cs="Arial"/>
          <w:sz w:val="22"/>
          <w:szCs w:val="22"/>
        </w:rPr>
        <w:t xml:space="preserve"> Lösung</w:t>
      </w:r>
      <w:r w:rsidR="0080564F">
        <w:rPr>
          <w:rFonts w:ascii="Verdana" w:hAnsi="Verdana" w:cs="Arial"/>
          <w:sz w:val="22"/>
          <w:szCs w:val="22"/>
        </w:rPr>
        <w:t>, die zudem einfach zu installieren und förderfähig ist. Damit lässt sich die Gesamteffizienz der bestehenden Anlage zur Bereitung von Heizwärme und Warmwasser deutlich steigern.</w:t>
      </w:r>
    </w:p>
    <w:p w14:paraId="46CC9ACD" w14:textId="77777777" w:rsidR="0080564F" w:rsidRDefault="0080564F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49C2A0B2" w14:textId="77777777" w:rsidR="0080564F" w:rsidRPr="0080564F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80564F">
        <w:rPr>
          <w:rFonts w:ascii="Verdana" w:hAnsi="Verdana" w:cs="Arial"/>
          <w:b/>
          <w:sz w:val="22"/>
          <w:szCs w:val="22"/>
        </w:rPr>
        <w:t>Broschüre als Verkaufshilfe fürs Handwerk</w:t>
      </w:r>
    </w:p>
    <w:p w14:paraId="60B9AF53" w14:textId="088F711E" w:rsidR="0080564F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Zur Unterstützung des Fachhandwerks legte tecalor jüngst seine Broschüre „Zuhause im grünen Bereich“</w:t>
      </w:r>
      <w:r w:rsidR="004438ED">
        <w:rPr>
          <w:rFonts w:ascii="Verdana" w:hAnsi="Verdana" w:cs="Arial"/>
          <w:sz w:val="22"/>
          <w:szCs w:val="22"/>
        </w:rPr>
        <w:t xml:space="preserve"> vor</w:t>
      </w:r>
      <w:r>
        <w:rPr>
          <w:rFonts w:ascii="Verdana" w:hAnsi="Verdana" w:cs="Arial"/>
          <w:sz w:val="22"/>
          <w:szCs w:val="22"/>
        </w:rPr>
        <w:t>, die sich an Endkunden richtet und neuen Installationen den Weg bereitet. Darin appelliert tecalor an die Hausbesitzer, Verantwortung zu übernehmen: „</w:t>
      </w:r>
      <w:r w:rsidRPr="0080564F">
        <w:rPr>
          <w:rFonts w:ascii="Verdana" w:hAnsi="Verdana" w:cs="Arial"/>
          <w:sz w:val="22"/>
          <w:szCs w:val="22"/>
        </w:rPr>
        <w:t>Gerade im Bereich der Wärmeversorgung ist noch</w:t>
      </w:r>
      <w:r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>viel zu tun. Das heißt: neue Wege gehen. Wege, die grüner sind.</w:t>
      </w:r>
      <w:r>
        <w:rPr>
          <w:rFonts w:ascii="Verdana" w:hAnsi="Verdana" w:cs="Arial"/>
          <w:sz w:val="22"/>
          <w:szCs w:val="22"/>
        </w:rPr>
        <w:t>“ In der Broschüre werden Produkte und Lösungen vorgestellt für Teil- und Vollsanierungen bei Warmwasser und Heizung sowie für Lüftung und Kühlung.</w:t>
      </w:r>
      <w:r w:rsidR="00574458">
        <w:rPr>
          <w:rFonts w:ascii="Verdana" w:hAnsi="Verdana" w:cs="Arial"/>
          <w:sz w:val="22"/>
          <w:szCs w:val="22"/>
        </w:rPr>
        <w:t xml:space="preserve"> Damit unterstützt tecalor die Vertriebsaktivitäten des Fachhandwerks.</w:t>
      </w:r>
    </w:p>
    <w:p w14:paraId="79D06489" w14:textId="77777777" w:rsidR="0080564F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5B53BFDA" w14:textId="593C023E" w:rsidR="00574458" w:rsidRPr="00574458" w:rsidRDefault="00574458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574458">
        <w:rPr>
          <w:rFonts w:ascii="Verdana" w:hAnsi="Verdana" w:cs="Arial"/>
          <w:b/>
          <w:sz w:val="22"/>
          <w:szCs w:val="22"/>
        </w:rPr>
        <w:t xml:space="preserve">Hybrid-Sets </w:t>
      </w:r>
      <w:r>
        <w:rPr>
          <w:rFonts w:ascii="Verdana" w:hAnsi="Verdana" w:cs="Arial"/>
          <w:b/>
          <w:sz w:val="22"/>
          <w:szCs w:val="22"/>
        </w:rPr>
        <w:t>für</w:t>
      </w:r>
      <w:r w:rsidRPr="00574458">
        <w:rPr>
          <w:rFonts w:ascii="Verdana" w:hAnsi="Verdana" w:cs="Arial"/>
          <w:b/>
          <w:sz w:val="22"/>
          <w:szCs w:val="22"/>
        </w:rPr>
        <w:t xml:space="preserve"> perfekte </w:t>
      </w:r>
      <w:r>
        <w:rPr>
          <w:rFonts w:ascii="Verdana" w:hAnsi="Verdana" w:cs="Arial"/>
          <w:b/>
          <w:sz w:val="22"/>
          <w:szCs w:val="22"/>
        </w:rPr>
        <w:t>Teil-Sanierung</w:t>
      </w:r>
    </w:p>
    <w:p w14:paraId="6A813831" w14:textId="26163C8D" w:rsidR="0080564F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Besonders interessant dürfte für viele Hausbesitzer der Soft-Start mittels Hybrid-Heizung sein. </w:t>
      </w:r>
      <w:r w:rsidR="00891B72">
        <w:rPr>
          <w:rFonts w:ascii="Verdana" w:hAnsi="Verdana" w:cs="Arial"/>
          <w:sz w:val="22"/>
          <w:szCs w:val="22"/>
        </w:rPr>
        <w:t>„Wir bieten</w:t>
      </w:r>
      <w:r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>perfekte Kombinationen zur Einbindung einer Wärmepumpe</w:t>
      </w:r>
      <w:r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 xml:space="preserve">in ein bestehendes Heizsystem mit </w:t>
      </w:r>
      <w:r w:rsidR="00891B72">
        <w:rPr>
          <w:rFonts w:ascii="Verdana" w:hAnsi="Verdana" w:cs="Arial"/>
          <w:sz w:val="22"/>
          <w:szCs w:val="22"/>
        </w:rPr>
        <w:t>unseren</w:t>
      </w:r>
      <w:r w:rsidRPr="0080564F">
        <w:rPr>
          <w:rFonts w:ascii="Verdana" w:hAnsi="Verdana" w:cs="Arial"/>
          <w:sz w:val="22"/>
          <w:szCs w:val="22"/>
        </w:rPr>
        <w:t xml:space="preserve"> Hybrid-Sets für Luft-Wasser-Wärmepumpen</w:t>
      </w:r>
      <w:r w:rsidR="00891B72">
        <w:rPr>
          <w:rFonts w:ascii="Verdana" w:hAnsi="Verdana" w:cs="Arial"/>
          <w:sz w:val="22"/>
          <w:szCs w:val="22"/>
        </w:rPr>
        <w:t>“, betont Stuhlenmiller</w:t>
      </w:r>
      <w:r w:rsidRPr="0080564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 xml:space="preserve">Mit ihnen </w:t>
      </w:r>
      <w:r w:rsidR="00FF7A93">
        <w:rPr>
          <w:rFonts w:ascii="Verdana" w:hAnsi="Verdana" w:cs="Arial"/>
          <w:sz w:val="22"/>
          <w:szCs w:val="22"/>
        </w:rPr>
        <w:t>ist</w:t>
      </w:r>
      <w:r w:rsidR="00FF7A93" w:rsidRPr="0080564F"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>eine energetische Teilsanierung problemlos</w:t>
      </w:r>
      <w:r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 xml:space="preserve">möglich, ohne ins </w:t>
      </w:r>
      <w:r w:rsidR="004438ED">
        <w:rPr>
          <w:rFonts w:ascii="Verdana" w:hAnsi="Verdana" w:cs="Arial"/>
          <w:sz w:val="22"/>
          <w:szCs w:val="22"/>
        </w:rPr>
        <w:t>vorhandene</w:t>
      </w:r>
      <w:r w:rsidRPr="0080564F">
        <w:rPr>
          <w:rFonts w:ascii="Verdana" w:hAnsi="Verdana" w:cs="Arial"/>
          <w:sz w:val="22"/>
          <w:szCs w:val="22"/>
        </w:rPr>
        <w:t xml:space="preserve"> Wärmeverteilsystem einzugreifen.</w:t>
      </w:r>
      <w:r>
        <w:rPr>
          <w:rFonts w:ascii="Verdana" w:hAnsi="Verdana" w:cs="Arial"/>
          <w:sz w:val="22"/>
          <w:szCs w:val="22"/>
        </w:rPr>
        <w:t xml:space="preserve"> </w:t>
      </w:r>
      <w:r w:rsidR="004438ED" w:rsidRPr="004438ED">
        <w:rPr>
          <w:rFonts w:ascii="Verdana" w:hAnsi="Verdana" w:cs="Arial"/>
          <w:sz w:val="22"/>
          <w:szCs w:val="22"/>
        </w:rPr>
        <w:t xml:space="preserve">Der bestehende Wärmeerzeuger bleibt </w:t>
      </w:r>
      <w:r w:rsidR="004438ED">
        <w:rPr>
          <w:rFonts w:ascii="Verdana" w:hAnsi="Verdana" w:cs="Arial"/>
          <w:sz w:val="22"/>
          <w:szCs w:val="22"/>
        </w:rPr>
        <w:t xml:space="preserve">– unabhängig vom Hersteller – </w:t>
      </w:r>
      <w:r w:rsidR="004438ED" w:rsidRPr="004438ED">
        <w:rPr>
          <w:rFonts w:ascii="Verdana" w:hAnsi="Verdana" w:cs="Arial"/>
          <w:sz w:val="22"/>
          <w:szCs w:val="22"/>
        </w:rPr>
        <w:t xml:space="preserve">bestehen und wird über ein spezielles Hydraulikmodul mit </w:t>
      </w:r>
      <w:r w:rsidR="004438ED">
        <w:rPr>
          <w:rFonts w:ascii="Verdana" w:hAnsi="Verdana" w:cs="Arial"/>
          <w:sz w:val="22"/>
          <w:szCs w:val="22"/>
        </w:rPr>
        <w:t>d</w:t>
      </w:r>
      <w:r w:rsidR="004438ED" w:rsidRPr="004438ED">
        <w:rPr>
          <w:rFonts w:ascii="Verdana" w:hAnsi="Verdana" w:cs="Arial"/>
          <w:sz w:val="22"/>
          <w:szCs w:val="22"/>
        </w:rPr>
        <w:t>er Wärmepumpe kombiniert.</w:t>
      </w:r>
      <w:r w:rsidR="004438ED">
        <w:rPr>
          <w:rFonts w:ascii="Verdana" w:hAnsi="Verdana" w:cs="Arial"/>
          <w:sz w:val="22"/>
          <w:szCs w:val="22"/>
        </w:rPr>
        <w:t xml:space="preserve"> </w:t>
      </w:r>
      <w:r w:rsidRPr="0080564F">
        <w:rPr>
          <w:rFonts w:ascii="Verdana" w:hAnsi="Verdana" w:cs="Arial"/>
          <w:sz w:val="22"/>
          <w:szCs w:val="22"/>
        </w:rPr>
        <w:t xml:space="preserve">Dadurch </w:t>
      </w:r>
      <w:r w:rsidR="00891B72">
        <w:rPr>
          <w:rFonts w:ascii="Verdana" w:hAnsi="Verdana" w:cs="Arial"/>
          <w:sz w:val="22"/>
          <w:szCs w:val="22"/>
        </w:rPr>
        <w:t>lässt sich</w:t>
      </w:r>
      <w:r w:rsidRPr="0080564F">
        <w:rPr>
          <w:rFonts w:ascii="Verdana" w:hAnsi="Verdana" w:cs="Arial"/>
          <w:sz w:val="22"/>
          <w:szCs w:val="22"/>
        </w:rPr>
        <w:t xml:space="preserve"> die Installation häufig innerhalb</w:t>
      </w:r>
      <w:r>
        <w:rPr>
          <w:rFonts w:ascii="Verdana" w:hAnsi="Verdana" w:cs="Arial"/>
          <w:sz w:val="22"/>
          <w:szCs w:val="22"/>
        </w:rPr>
        <w:t xml:space="preserve"> weniger Tage </w:t>
      </w:r>
      <w:r w:rsidR="00891B72">
        <w:rPr>
          <w:rFonts w:ascii="Verdana" w:hAnsi="Verdana" w:cs="Arial"/>
          <w:sz w:val="22"/>
          <w:szCs w:val="22"/>
        </w:rPr>
        <w:t>abschließen</w:t>
      </w:r>
      <w:r>
        <w:rPr>
          <w:rFonts w:ascii="Verdana" w:hAnsi="Verdana" w:cs="Arial"/>
          <w:sz w:val="22"/>
          <w:szCs w:val="22"/>
        </w:rPr>
        <w:t xml:space="preserve"> und der Endkunde nutzt Umweltenergie fürs Heizen und die Warmwasserbereitung.</w:t>
      </w:r>
    </w:p>
    <w:p w14:paraId="50EE6E0B" w14:textId="77777777" w:rsidR="0080564F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610B267B" w14:textId="77777777" w:rsidR="00891B72" w:rsidRPr="00891B72" w:rsidRDefault="00891B72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891B72">
        <w:rPr>
          <w:rFonts w:ascii="Verdana" w:hAnsi="Verdana" w:cs="Arial"/>
          <w:b/>
          <w:sz w:val="22"/>
          <w:szCs w:val="22"/>
        </w:rPr>
        <w:t>Leistung mit Eco Drive steuerbar</w:t>
      </w:r>
    </w:p>
    <w:p w14:paraId="2DA6FAA2" w14:textId="3C58DDC3" w:rsidR="0085762D" w:rsidRDefault="0080564F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Luft-Wasser-Wärmepumpen TTL von tecalor gibt es in den Hybrid-Sets </w:t>
      </w:r>
      <w:r w:rsidR="004438ED" w:rsidRPr="004438ED">
        <w:rPr>
          <w:rFonts w:ascii="Verdana" w:hAnsi="Verdana" w:cs="Arial"/>
          <w:sz w:val="22"/>
          <w:szCs w:val="22"/>
        </w:rPr>
        <w:t xml:space="preserve">für bis </w:t>
      </w:r>
      <w:r w:rsidR="004438ED">
        <w:rPr>
          <w:rFonts w:ascii="Verdana" w:hAnsi="Verdana" w:cs="Arial"/>
          <w:sz w:val="22"/>
          <w:szCs w:val="22"/>
        </w:rPr>
        <w:t xml:space="preserve">zu etwa 20 Kilowatt </w:t>
      </w:r>
      <w:r w:rsidR="004438ED" w:rsidRPr="004438ED">
        <w:rPr>
          <w:rFonts w:ascii="Verdana" w:hAnsi="Verdana" w:cs="Arial"/>
          <w:sz w:val="22"/>
          <w:szCs w:val="22"/>
        </w:rPr>
        <w:t>Gebäudeheizlast in verschiedenen Leistungsgrößen.</w:t>
      </w:r>
      <w:r w:rsidR="004438ED">
        <w:rPr>
          <w:rFonts w:ascii="Verdana" w:hAnsi="Verdana" w:cs="Arial"/>
          <w:sz w:val="22"/>
          <w:szCs w:val="22"/>
        </w:rPr>
        <w:t xml:space="preserve"> </w:t>
      </w:r>
      <w:r w:rsidR="0087259D">
        <w:rPr>
          <w:rFonts w:ascii="Verdana" w:hAnsi="Verdana" w:cs="Arial"/>
          <w:sz w:val="22"/>
          <w:szCs w:val="22"/>
        </w:rPr>
        <w:t xml:space="preserve">Je nach </w:t>
      </w:r>
      <w:r w:rsidR="00FF7A93">
        <w:rPr>
          <w:rFonts w:ascii="Verdana" w:hAnsi="Verdana" w:cs="Arial"/>
          <w:sz w:val="22"/>
          <w:szCs w:val="22"/>
        </w:rPr>
        <w:t xml:space="preserve">Kombination </w:t>
      </w:r>
      <w:r w:rsidR="0087259D">
        <w:rPr>
          <w:rFonts w:ascii="Verdana" w:hAnsi="Verdana" w:cs="Arial"/>
          <w:sz w:val="22"/>
          <w:szCs w:val="22"/>
        </w:rPr>
        <w:t xml:space="preserve">lassen sich damit Leistungsanteile der Wärmepumpe von 20 bis 88 Prozent wirtschaftlich sinnvoll realisieren. Mit der Funktion „Eco Drive“ kann der Betreiber </w:t>
      </w:r>
      <w:r w:rsidR="00A14364">
        <w:rPr>
          <w:rFonts w:ascii="Verdana" w:hAnsi="Verdana" w:cs="Arial"/>
          <w:sz w:val="22"/>
          <w:szCs w:val="22"/>
        </w:rPr>
        <w:t>die</w:t>
      </w:r>
      <w:r w:rsidR="0087259D">
        <w:rPr>
          <w:rFonts w:ascii="Verdana" w:hAnsi="Verdana" w:cs="Arial"/>
          <w:sz w:val="22"/>
          <w:szCs w:val="22"/>
        </w:rPr>
        <w:t xml:space="preserve"> Hybrid-Anlagen individuell </w:t>
      </w:r>
      <w:proofErr w:type="spellStart"/>
      <w:r w:rsidR="0087259D">
        <w:rPr>
          <w:rFonts w:ascii="Verdana" w:hAnsi="Verdana" w:cs="Arial"/>
          <w:sz w:val="22"/>
          <w:szCs w:val="22"/>
        </w:rPr>
        <w:t>wichten</w:t>
      </w:r>
      <w:proofErr w:type="spellEnd"/>
      <w:r w:rsidR="0087259D">
        <w:rPr>
          <w:rFonts w:ascii="Verdana" w:hAnsi="Verdana" w:cs="Arial"/>
          <w:sz w:val="22"/>
          <w:szCs w:val="22"/>
        </w:rPr>
        <w:t xml:space="preserve"> zwischen vorrangig ökologischer oder eher ökonomischer Ausrichtung.</w:t>
      </w:r>
    </w:p>
    <w:p w14:paraId="1F581EBE" w14:textId="77777777" w:rsidR="0085762D" w:rsidRDefault="0085762D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608340C" w14:textId="7AE87258" w:rsidR="00891B72" w:rsidRPr="00891B72" w:rsidRDefault="00891B72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Bundesf</w:t>
      </w:r>
      <w:r w:rsidRPr="00891B72">
        <w:rPr>
          <w:rFonts w:ascii="Verdana" w:hAnsi="Verdana" w:cs="Arial"/>
          <w:b/>
          <w:sz w:val="22"/>
          <w:szCs w:val="22"/>
        </w:rPr>
        <w:t>örderung für Hybrid-</w:t>
      </w:r>
      <w:r>
        <w:rPr>
          <w:rFonts w:ascii="Verdana" w:hAnsi="Verdana" w:cs="Arial"/>
          <w:b/>
          <w:sz w:val="22"/>
          <w:szCs w:val="22"/>
        </w:rPr>
        <w:t>Lösungen</w:t>
      </w:r>
    </w:p>
    <w:p w14:paraId="66007E4D" w14:textId="761BFE2A" w:rsidR="0080564F" w:rsidRDefault="00D14D70" w:rsidP="0080564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Sets bestehen jeweils aus einer Luft-Wasser-Wärmepumpe TTL und dem Hydraulikmodul Hybrid THMH</w:t>
      </w:r>
      <w:r w:rsidR="0085762D">
        <w:rPr>
          <w:rFonts w:ascii="Verdana" w:hAnsi="Verdana" w:cs="Arial"/>
          <w:sz w:val="22"/>
          <w:szCs w:val="22"/>
        </w:rPr>
        <w:t xml:space="preserve">. Damit sind Vorlauftemperaturen bis 65 Grad </w:t>
      </w:r>
      <w:r w:rsidR="004438ED">
        <w:rPr>
          <w:rFonts w:ascii="Verdana" w:hAnsi="Verdana" w:cs="Arial"/>
          <w:sz w:val="22"/>
          <w:szCs w:val="22"/>
        </w:rPr>
        <w:t xml:space="preserve">im reinen Wärmepumpenbetrieb </w:t>
      </w:r>
      <w:r w:rsidR="0085762D">
        <w:rPr>
          <w:rFonts w:ascii="Verdana" w:hAnsi="Verdana" w:cs="Arial"/>
          <w:sz w:val="22"/>
          <w:szCs w:val="22"/>
        </w:rPr>
        <w:t xml:space="preserve">möglich – und das bei leisem Betrieb auch bei enger Bebauung. Dank der Bundesförderung effizienter Gebäude (BEG) gibt es für derartige </w:t>
      </w:r>
      <w:r w:rsidR="0085762D">
        <w:rPr>
          <w:rFonts w:ascii="Verdana" w:hAnsi="Verdana" w:cs="Arial"/>
          <w:sz w:val="22"/>
          <w:szCs w:val="22"/>
        </w:rPr>
        <w:lastRenderedPageBreak/>
        <w:t>Einzelmaßnahmen Zuschüsse von bis zu 30 Prozent für die gesamten Anlagenkosten.</w:t>
      </w:r>
    </w:p>
    <w:p w14:paraId="31567F3B" w14:textId="77777777" w:rsidR="0007722D" w:rsidRDefault="0007722D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4F7462EC" w14:textId="190522FF" w:rsidR="00361D53" w:rsidRDefault="00F81D94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Weitere In</w:t>
      </w:r>
      <w:r w:rsidR="00361D5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ormationen unter </w:t>
      </w:r>
      <w:r w:rsidR="0007722D" w:rsidRPr="00361D53">
        <w:rPr>
          <w:rFonts w:ascii="Verdana" w:hAnsi="Verdana" w:cs="Arial"/>
          <w:sz w:val="22"/>
          <w:szCs w:val="22"/>
        </w:rPr>
        <w:t>www.tecalor.de</w:t>
      </w:r>
      <w:r w:rsidR="00DA5588">
        <w:rPr>
          <w:rFonts w:ascii="Verdana" w:hAnsi="Verdana" w:cs="Arial"/>
          <w:sz w:val="22"/>
          <w:szCs w:val="22"/>
        </w:rPr>
        <w:t>/sanierung</w:t>
      </w:r>
    </w:p>
    <w:p w14:paraId="1229B374" w14:textId="77777777" w:rsidR="00361D53" w:rsidRDefault="00361D53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DAA34AC" w14:textId="35927B53" w:rsidR="00A355AA" w:rsidRPr="00FC6193" w:rsidRDefault="00A355AA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4438ED">
        <w:rPr>
          <w:rFonts w:ascii="Verdana" w:hAnsi="Verdana" w:cs="Arial"/>
          <w:sz w:val="22"/>
          <w:szCs w:val="22"/>
        </w:rPr>
        <w:t>3.039</w:t>
      </w:r>
      <w:r w:rsidR="004302A2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Z.i.L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6512CF5E" w14:textId="77777777" w:rsidR="00A355AA" w:rsidRDefault="00A355AA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C4BE112" w14:textId="1BC04054" w:rsidR="00E10790" w:rsidRDefault="00230FC6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0198D3BD" w14:textId="2427DEFA" w:rsidR="004A1AF5" w:rsidRDefault="004A1AF5">
      <w:pPr>
        <w:rPr>
          <w:rFonts w:ascii="Verdana" w:hAnsi="Verdana" w:cs="Arial"/>
          <w:b/>
          <w:sz w:val="21"/>
          <w:szCs w:val="21"/>
        </w:rPr>
      </w:pPr>
    </w:p>
    <w:p w14:paraId="28A1F23E" w14:textId="284F4D5A" w:rsidR="00A14364" w:rsidRDefault="00A14364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715B0AE6" wp14:editId="0A887E69">
            <wp:extent cx="3896873" cy="2753833"/>
            <wp:effectExtent l="0" t="0" r="889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60" cy="27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302C" w14:textId="77777777" w:rsidR="00A14364" w:rsidRDefault="00A14364">
      <w:pPr>
        <w:rPr>
          <w:rFonts w:ascii="Verdana" w:hAnsi="Verdana" w:cs="Arial"/>
          <w:b/>
          <w:sz w:val="21"/>
          <w:szCs w:val="21"/>
        </w:rPr>
      </w:pPr>
    </w:p>
    <w:p w14:paraId="02968658" w14:textId="0557352A" w:rsidR="00891B72" w:rsidRPr="0039641B" w:rsidRDefault="00891B72" w:rsidP="0039641B">
      <w:pPr>
        <w:ind w:right="2268"/>
        <w:rPr>
          <w:rFonts w:ascii="Verdana" w:hAnsi="Verdana" w:cs="Arial"/>
          <w:b/>
          <w:bCs/>
          <w:sz w:val="22"/>
          <w:szCs w:val="22"/>
        </w:rPr>
      </w:pPr>
      <w:r w:rsidRPr="0039641B">
        <w:rPr>
          <w:rFonts w:ascii="Verdana" w:hAnsi="Verdana" w:cs="Arial"/>
          <w:b/>
          <w:bCs/>
          <w:sz w:val="22"/>
          <w:szCs w:val="22"/>
        </w:rPr>
        <w:t>Mit dem Hybrid-Set mit Luft-Wasser-Wärmepumpe bietet tecalor dem Fachhandwerker eine ausgereifte Lösung, die zudem einfach zu installieren und förderfähig ist. So fällt es leicht, Endkunden vom Einstieg in die Wärmepumpen-Technologie zu überzeugen.</w:t>
      </w:r>
    </w:p>
    <w:p w14:paraId="7D9F39F6" w14:textId="607F8AED" w:rsidR="00A14364" w:rsidRDefault="00A14364" w:rsidP="00891B72">
      <w:pPr>
        <w:rPr>
          <w:rFonts w:ascii="Verdana" w:hAnsi="Verdana" w:cs="Arial"/>
          <w:b/>
          <w:sz w:val="21"/>
          <w:szCs w:val="21"/>
        </w:rPr>
      </w:pPr>
    </w:p>
    <w:p w14:paraId="180189FB" w14:textId="6173BE9B" w:rsidR="00A14364" w:rsidRDefault="00A14364" w:rsidP="00891B72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lastRenderedPageBreak/>
        <w:drawing>
          <wp:inline distT="0" distB="0" distL="0" distR="0" wp14:anchorId="42380D15" wp14:editId="7D2E59C7">
            <wp:extent cx="3604438" cy="254717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14" cy="25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2127" w14:textId="31664B80" w:rsidR="00A355AA" w:rsidRDefault="00A355AA" w:rsidP="00702CB0">
      <w:pPr>
        <w:ind w:right="2268"/>
        <w:rPr>
          <w:rFonts w:ascii="Verdana" w:hAnsi="Verdana" w:cs="Arial"/>
          <w:sz w:val="22"/>
          <w:szCs w:val="22"/>
        </w:rPr>
      </w:pPr>
    </w:p>
    <w:p w14:paraId="36489BBF" w14:textId="135BA45E" w:rsidR="0039641B" w:rsidRDefault="0039641B" w:rsidP="0039641B">
      <w:pPr>
        <w:ind w:right="2268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Die Hybrid-</w:t>
      </w:r>
      <w:r w:rsidRPr="0039641B">
        <w:rPr>
          <w:rFonts w:ascii="Verdana" w:hAnsi="Verdana" w:cs="Arial"/>
          <w:b/>
          <w:bCs/>
          <w:sz w:val="22"/>
          <w:szCs w:val="22"/>
        </w:rPr>
        <w:t xml:space="preserve">Sets können bis zu einer Gebäudeheizlast von </w:t>
      </w:r>
      <w:r>
        <w:rPr>
          <w:rFonts w:ascii="Verdana" w:hAnsi="Verdana" w:cs="Arial"/>
          <w:b/>
          <w:bCs/>
          <w:sz w:val="22"/>
          <w:szCs w:val="22"/>
        </w:rPr>
        <w:t>rund</w:t>
      </w:r>
      <w:r w:rsidRPr="0039641B">
        <w:rPr>
          <w:rFonts w:ascii="Verdana" w:hAnsi="Verdana" w:cs="Arial"/>
          <w:b/>
          <w:bCs/>
          <w:sz w:val="22"/>
          <w:szCs w:val="22"/>
        </w:rPr>
        <w:t xml:space="preserve"> 20 kW eingesetzt werden. </w:t>
      </w:r>
      <w:r>
        <w:rPr>
          <w:rFonts w:ascii="Verdana" w:hAnsi="Verdana" w:cs="Arial"/>
          <w:b/>
          <w:bCs/>
          <w:sz w:val="22"/>
          <w:szCs w:val="22"/>
        </w:rPr>
        <w:t>D</w:t>
      </w:r>
      <w:r w:rsidRPr="0039641B">
        <w:rPr>
          <w:rFonts w:ascii="Verdana" w:hAnsi="Verdana" w:cs="Arial"/>
          <w:b/>
          <w:bCs/>
          <w:sz w:val="22"/>
          <w:szCs w:val="22"/>
        </w:rPr>
        <w:t xml:space="preserve">amit </w:t>
      </w:r>
      <w:r>
        <w:rPr>
          <w:rFonts w:ascii="Verdana" w:hAnsi="Verdana" w:cs="Arial"/>
          <w:b/>
          <w:bCs/>
          <w:sz w:val="22"/>
          <w:szCs w:val="22"/>
        </w:rPr>
        <w:t xml:space="preserve">lassen sich </w:t>
      </w:r>
      <w:r w:rsidRPr="0039641B">
        <w:rPr>
          <w:rFonts w:ascii="Verdana" w:hAnsi="Verdana" w:cs="Arial"/>
          <w:b/>
          <w:bCs/>
          <w:sz w:val="22"/>
          <w:szCs w:val="22"/>
        </w:rPr>
        <w:t>Leistungsanteile der Wärmepumpe bis 88 Prozent wirtschaftlich sinnvoll realisieren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p w14:paraId="19DEA55A" w14:textId="77777777" w:rsidR="0039641B" w:rsidRPr="00A14364" w:rsidRDefault="0039641B" w:rsidP="00702CB0">
      <w:pPr>
        <w:ind w:right="2268"/>
        <w:rPr>
          <w:rFonts w:ascii="Verdana" w:hAnsi="Verdana" w:cs="Arial"/>
          <w:b/>
          <w:bCs/>
          <w:sz w:val="22"/>
          <w:szCs w:val="22"/>
        </w:rPr>
      </w:pPr>
    </w:p>
    <w:p w14:paraId="1028FAEB" w14:textId="77777777" w:rsidR="00A14364" w:rsidRDefault="00A14364" w:rsidP="00702CB0">
      <w:pPr>
        <w:ind w:right="2268"/>
        <w:rPr>
          <w:rFonts w:ascii="Verdana" w:hAnsi="Verdana" w:cs="Arial"/>
          <w:sz w:val="22"/>
          <w:szCs w:val="22"/>
        </w:rPr>
      </w:pPr>
    </w:p>
    <w:p w14:paraId="3FD046DD" w14:textId="77777777" w:rsidR="009F3F25" w:rsidRDefault="009F3F25">
      <w:pPr>
        <w:rPr>
          <w:rFonts w:ascii="Verdana" w:hAnsi="Verdana" w:cs="Arial"/>
          <w:sz w:val="22"/>
          <w:szCs w:val="22"/>
        </w:rPr>
      </w:pPr>
    </w:p>
    <w:p w14:paraId="4368AC7B" w14:textId="47B024CE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0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4B1BA6AE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14:paraId="1ADE9CBB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71BD2110" w14:textId="6BAD8672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0BFDA5ED" w14:textId="77777777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1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4AC09E2C" w14:textId="30798481"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2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CE90" w14:textId="77777777" w:rsidR="007D5F04" w:rsidRDefault="007D5F04" w:rsidP="004C231C">
      <w:r>
        <w:separator/>
      </w:r>
    </w:p>
  </w:endnote>
  <w:endnote w:type="continuationSeparator" w:id="0">
    <w:p w14:paraId="2CA95BC6" w14:textId="77777777" w:rsidR="007D5F04" w:rsidRDefault="007D5F04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A2E5" w14:textId="77777777" w:rsidR="007D5F04" w:rsidRDefault="007D5F04" w:rsidP="004C231C">
      <w:r>
        <w:separator/>
      </w:r>
    </w:p>
  </w:footnote>
  <w:footnote w:type="continuationSeparator" w:id="0">
    <w:p w14:paraId="33FCAF3E" w14:textId="77777777" w:rsidR="007D5F04" w:rsidRDefault="007D5F04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0E98"/>
    <w:rsid w:val="0000564A"/>
    <w:rsid w:val="000062FD"/>
    <w:rsid w:val="0002419D"/>
    <w:rsid w:val="00030376"/>
    <w:rsid w:val="0003085B"/>
    <w:rsid w:val="00032408"/>
    <w:rsid w:val="00040C77"/>
    <w:rsid w:val="00050D64"/>
    <w:rsid w:val="0005519A"/>
    <w:rsid w:val="00057B7E"/>
    <w:rsid w:val="00066BBC"/>
    <w:rsid w:val="00073077"/>
    <w:rsid w:val="0007696A"/>
    <w:rsid w:val="0007722D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53ACF"/>
    <w:rsid w:val="00181343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6499"/>
    <w:rsid w:val="00201DA5"/>
    <w:rsid w:val="00207AE5"/>
    <w:rsid w:val="00217942"/>
    <w:rsid w:val="0022099E"/>
    <w:rsid w:val="00227ED1"/>
    <w:rsid w:val="00230848"/>
    <w:rsid w:val="00230AFA"/>
    <w:rsid w:val="00230FC6"/>
    <w:rsid w:val="002315A1"/>
    <w:rsid w:val="0025353C"/>
    <w:rsid w:val="00263758"/>
    <w:rsid w:val="00272E7B"/>
    <w:rsid w:val="00280710"/>
    <w:rsid w:val="002A45C4"/>
    <w:rsid w:val="002C4402"/>
    <w:rsid w:val="002D0858"/>
    <w:rsid w:val="002E5B6F"/>
    <w:rsid w:val="002F5442"/>
    <w:rsid w:val="0031761E"/>
    <w:rsid w:val="00326F6E"/>
    <w:rsid w:val="003354C7"/>
    <w:rsid w:val="003605DF"/>
    <w:rsid w:val="00361D53"/>
    <w:rsid w:val="00365A17"/>
    <w:rsid w:val="00372E52"/>
    <w:rsid w:val="00373369"/>
    <w:rsid w:val="00373F31"/>
    <w:rsid w:val="0038209F"/>
    <w:rsid w:val="00382794"/>
    <w:rsid w:val="0039606B"/>
    <w:rsid w:val="0039641B"/>
    <w:rsid w:val="00396615"/>
    <w:rsid w:val="003A0298"/>
    <w:rsid w:val="003B09FE"/>
    <w:rsid w:val="003B2E8F"/>
    <w:rsid w:val="003E1701"/>
    <w:rsid w:val="003E1731"/>
    <w:rsid w:val="003F0F76"/>
    <w:rsid w:val="003F5EBB"/>
    <w:rsid w:val="00400F83"/>
    <w:rsid w:val="00401981"/>
    <w:rsid w:val="00413A6C"/>
    <w:rsid w:val="00414059"/>
    <w:rsid w:val="00425A8C"/>
    <w:rsid w:val="004302A2"/>
    <w:rsid w:val="0043177C"/>
    <w:rsid w:val="004438ED"/>
    <w:rsid w:val="00445925"/>
    <w:rsid w:val="004463DF"/>
    <w:rsid w:val="004604F2"/>
    <w:rsid w:val="00463158"/>
    <w:rsid w:val="00466830"/>
    <w:rsid w:val="00467662"/>
    <w:rsid w:val="0047247F"/>
    <w:rsid w:val="0049261C"/>
    <w:rsid w:val="0049478C"/>
    <w:rsid w:val="004A1AF5"/>
    <w:rsid w:val="004B4E6F"/>
    <w:rsid w:val="004B63A0"/>
    <w:rsid w:val="004B6426"/>
    <w:rsid w:val="004C231C"/>
    <w:rsid w:val="004C7B8E"/>
    <w:rsid w:val="004D57FE"/>
    <w:rsid w:val="004E14CA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6DD1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D5F04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90EB1"/>
    <w:rsid w:val="00891B72"/>
    <w:rsid w:val="008A6EB9"/>
    <w:rsid w:val="008B0B4F"/>
    <w:rsid w:val="008B53DE"/>
    <w:rsid w:val="008B5F42"/>
    <w:rsid w:val="008D1A2F"/>
    <w:rsid w:val="008F7420"/>
    <w:rsid w:val="00900C51"/>
    <w:rsid w:val="00905BFB"/>
    <w:rsid w:val="00912679"/>
    <w:rsid w:val="00912BA0"/>
    <w:rsid w:val="009300A3"/>
    <w:rsid w:val="009357E8"/>
    <w:rsid w:val="00936EEB"/>
    <w:rsid w:val="009539FD"/>
    <w:rsid w:val="00960FF2"/>
    <w:rsid w:val="00966D15"/>
    <w:rsid w:val="00977034"/>
    <w:rsid w:val="00986EE1"/>
    <w:rsid w:val="009948B2"/>
    <w:rsid w:val="009A255C"/>
    <w:rsid w:val="009A594A"/>
    <w:rsid w:val="009B3DA1"/>
    <w:rsid w:val="009C7D35"/>
    <w:rsid w:val="009D3ECF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51FA2"/>
    <w:rsid w:val="00A64D3A"/>
    <w:rsid w:val="00A7083C"/>
    <w:rsid w:val="00A74301"/>
    <w:rsid w:val="00A841C5"/>
    <w:rsid w:val="00A84D9C"/>
    <w:rsid w:val="00A86630"/>
    <w:rsid w:val="00A9110A"/>
    <w:rsid w:val="00AA2FBF"/>
    <w:rsid w:val="00AA5596"/>
    <w:rsid w:val="00AB48BD"/>
    <w:rsid w:val="00AD17B5"/>
    <w:rsid w:val="00AF2197"/>
    <w:rsid w:val="00AF51EB"/>
    <w:rsid w:val="00AF6D91"/>
    <w:rsid w:val="00B001B6"/>
    <w:rsid w:val="00B00A6D"/>
    <w:rsid w:val="00B07849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5C01"/>
    <w:rsid w:val="00BB4DB4"/>
    <w:rsid w:val="00BD2846"/>
    <w:rsid w:val="00BE02E3"/>
    <w:rsid w:val="00BE2CF4"/>
    <w:rsid w:val="00BE6D5F"/>
    <w:rsid w:val="00C13B28"/>
    <w:rsid w:val="00C17E80"/>
    <w:rsid w:val="00C25793"/>
    <w:rsid w:val="00C360FE"/>
    <w:rsid w:val="00C37FF1"/>
    <w:rsid w:val="00C56D48"/>
    <w:rsid w:val="00C60678"/>
    <w:rsid w:val="00C66C92"/>
    <w:rsid w:val="00C71DDF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A686B"/>
    <w:rsid w:val="00CB7254"/>
    <w:rsid w:val="00CE6CC1"/>
    <w:rsid w:val="00CE7C78"/>
    <w:rsid w:val="00CF02CC"/>
    <w:rsid w:val="00CF1F84"/>
    <w:rsid w:val="00D03C58"/>
    <w:rsid w:val="00D077D6"/>
    <w:rsid w:val="00D14D70"/>
    <w:rsid w:val="00D17B8B"/>
    <w:rsid w:val="00D20EF8"/>
    <w:rsid w:val="00D24145"/>
    <w:rsid w:val="00D270FB"/>
    <w:rsid w:val="00D4408D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5588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A0483"/>
    <w:rsid w:val="00EA674E"/>
    <w:rsid w:val="00EA7002"/>
    <w:rsid w:val="00EB1756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61E4C"/>
    <w:rsid w:val="00F631D1"/>
    <w:rsid w:val="00F7515A"/>
    <w:rsid w:val="00F81D94"/>
    <w:rsid w:val="00F82E5B"/>
    <w:rsid w:val="00F94AE9"/>
    <w:rsid w:val="00F96D63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F41E0"/>
    <w:rsid w:val="00FF4CD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Knoke@tecalo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calor.de/de/unternehmen/presse-aktuelles/pressemeldung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A4BD-0B7A-4AF3-970B-5D6745CE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3584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4066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2021-05-12T06:44:00Z</dcterms:created>
  <dcterms:modified xsi:type="dcterms:W3CDTF">2021-05-12T06:44:00Z</dcterms:modified>
</cp:coreProperties>
</file>