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4F782A">
      <w:pPr>
        <w:pStyle w:val="berschrift1"/>
        <w:tabs>
          <w:tab w:val="left" w:pos="5387"/>
        </w:tabs>
        <w:ind w:right="2268"/>
        <w:jc w:val="both"/>
        <w:rPr>
          <w:rFonts w:ascii="Verdana" w:hAnsi="Verdana"/>
          <w:sz w:val="22"/>
        </w:rPr>
      </w:pPr>
      <w:r w:rsidRPr="00FC6193">
        <w:rPr>
          <w:rFonts w:ascii="Verdana" w:hAnsi="Verdana"/>
          <w:sz w:val="22"/>
        </w:rPr>
        <w:t xml:space="preserve">Presseinformation </w:t>
      </w:r>
      <w:r w:rsidR="00924482">
        <w:rPr>
          <w:rFonts w:ascii="Verdana" w:hAnsi="Verdana"/>
          <w:sz w:val="22"/>
        </w:rPr>
        <w:t>12</w:t>
      </w:r>
      <w:r w:rsidR="00357604">
        <w:rPr>
          <w:rFonts w:ascii="Verdana" w:hAnsi="Verdana"/>
          <w:sz w:val="22"/>
        </w:rPr>
        <w:t xml:space="preserve"> </w:t>
      </w:r>
      <w:r w:rsidRPr="00FC6193">
        <w:rPr>
          <w:rFonts w:ascii="Verdana" w:hAnsi="Verdana"/>
          <w:sz w:val="22"/>
        </w:rPr>
        <w:t>/201</w:t>
      </w:r>
      <w:r w:rsidR="005545C4" w:rsidRPr="00FC6193">
        <w:rPr>
          <w:rFonts w:ascii="Verdana" w:hAnsi="Verdana"/>
          <w:sz w:val="22"/>
        </w:rPr>
        <w:t>8</w:t>
      </w:r>
      <w:r w:rsidRPr="00FC6193">
        <w:rPr>
          <w:rFonts w:ascii="Verdana" w:hAnsi="Verdana"/>
          <w:sz w:val="22"/>
        </w:rPr>
        <w:t xml:space="preserve"> </w:t>
      </w:r>
    </w:p>
    <w:p w:rsidR="004C231C" w:rsidRPr="00FC6193" w:rsidRDefault="004C231C" w:rsidP="004C231C">
      <w:pPr>
        <w:jc w:val="both"/>
        <w:rPr>
          <w:rFonts w:ascii="Verdana" w:hAnsi="Verdana" w:cs="Arial"/>
        </w:rPr>
      </w:pPr>
    </w:p>
    <w:p w:rsidR="004C231C" w:rsidRPr="00FC6193" w:rsidRDefault="004C231C" w:rsidP="004C231C">
      <w:pPr>
        <w:jc w:val="both"/>
        <w:rPr>
          <w:rFonts w:ascii="Verdana" w:hAnsi="Verdana" w:cs="Arial"/>
        </w:rPr>
      </w:pPr>
    </w:p>
    <w:p w:rsidR="004C231C" w:rsidRPr="00FC6193" w:rsidRDefault="004C231C" w:rsidP="004C231C">
      <w:pPr>
        <w:ind w:right="2268"/>
        <w:jc w:val="both"/>
        <w:rPr>
          <w:rFonts w:ascii="Verdana" w:hAnsi="Verdana" w:cs="Arial"/>
          <w:b/>
          <w:sz w:val="22"/>
        </w:rPr>
      </w:pPr>
      <w:r w:rsidRPr="00FC6193">
        <w:rPr>
          <w:rFonts w:ascii="Verdana" w:hAnsi="Verdana" w:cs="Arial"/>
          <w:b/>
          <w:sz w:val="22"/>
        </w:rPr>
        <w:t>Tecalor GmbH, Holzminden</w:t>
      </w:r>
    </w:p>
    <w:p w:rsidR="004C231C" w:rsidRPr="00FC6193" w:rsidRDefault="004C231C" w:rsidP="004C231C">
      <w:pPr>
        <w:jc w:val="both"/>
        <w:rPr>
          <w:rFonts w:ascii="Verdana" w:hAnsi="Verdana" w:cs="Arial"/>
          <w:b/>
          <w:sz w:val="26"/>
        </w:rPr>
      </w:pPr>
    </w:p>
    <w:p w:rsidR="004C231C" w:rsidRPr="00FC6193" w:rsidRDefault="004507DA" w:rsidP="004C231C">
      <w:pPr>
        <w:ind w:right="2268"/>
        <w:rPr>
          <w:rFonts w:ascii="Verdana" w:hAnsi="Verdana"/>
          <w:bCs/>
          <w:sz w:val="26"/>
        </w:rPr>
      </w:pPr>
      <w:r>
        <w:rPr>
          <w:rFonts w:ascii="Verdana" w:hAnsi="Verdana" w:cs="Arial"/>
          <w:b/>
          <w:sz w:val="26"/>
          <w:szCs w:val="28"/>
        </w:rPr>
        <w:t>Praxisnähe garantiert</w:t>
      </w:r>
    </w:p>
    <w:p w:rsidR="004C231C" w:rsidRPr="00FC6193" w:rsidRDefault="004C231C" w:rsidP="004C231C">
      <w:pPr>
        <w:rPr>
          <w:rStyle w:val="Fett"/>
        </w:rPr>
      </w:pPr>
    </w:p>
    <w:p w:rsidR="004C231C" w:rsidRPr="00FC6193" w:rsidRDefault="00E51AD8" w:rsidP="004C231C">
      <w:pPr>
        <w:ind w:right="2268"/>
        <w:rPr>
          <w:rStyle w:val="Fett"/>
        </w:rPr>
      </w:pPr>
      <w:r>
        <w:rPr>
          <w:rStyle w:val="Fett"/>
          <w:rFonts w:ascii="Verdana" w:hAnsi="Verdana" w:cs="Arial"/>
          <w:sz w:val="22"/>
          <w:szCs w:val="22"/>
        </w:rPr>
        <w:t>Neues Jahr, neuer Standort</w:t>
      </w:r>
      <w:r w:rsidR="00192B38">
        <w:rPr>
          <w:rStyle w:val="Fett"/>
          <w:rFonts w:ascii="Verdana" w:hAnsi="Verdana" w:cs="Arial"/>
          <w:sz w:val="22"/>
          <w:szCs w:val="22"/>
        </w:rPr>
        <w:t>, neue Termine</w:t>
      </w:r>
      <w:r>
        <w:rPr>
          <w:rStyle w:val="Fett"/>
          <w:rFonts w:ascii="Verdana" w:hAnsi="Verdana" w:cs="Arial"/>
          <w:sz w:val="22"/>
          <w:szCs w:val="22"/>
        </w:rPr>
        <w:t xml:space="preserve">: </w:t>
      </w:r>
      <w:r w:rsidR="00192B38">
        <w:rPr>
          <w:rStyle w:val="Fett"/>
          <w:rFonts w:ascii="Verdana" w:hAnsi="Verdana" w:cs="Arial"/>
          <w:sz w:val="22"/>
          <w:szCs w:val="22"/>
        </w:rPr>
        <w:t>Weiterbildung i</w:t>
      </w:r>
      <w:r w:rsidR="00DB50B4">
        <w:rPr>
          <w:rStyle w:val="Fett"/>
          <w:rFonts w:ascii="Verdana" w:hAnsi="Verdana" w:cs="Arial"/>
          <w:sz w:val="22"/>
          <w:szCs w:val="22"/>
        </w:rPr>
        <w:t>n den</w:t>
      </w:r>
      <w:r w:rsidR="00192B38">
        <w:rPr>
          <w:rStyle w:val="Fett"/>
          <w:rFonts w:ascii="Verdana" w:hAnsi="Verdana" w:cs="Arial"/>
          <w:sz w:val="22"/>
          <w:szCs w:val="22"/>
        </w:rPr>
        <w:t xml:space="preserve"> </w:t>
      </w:r>
      <w:proofErr w:type="spellStart"/>
      <w:r>
        <w:rPr>
          <w:rStyle w:val="Fett"/>
          <w:rFonts w:ascii="Verdana" w:hAnsi="Verdana" w:cs="Arial"/>
          <w:sz w:val="22"/>
          <w:szCs w:val="22"/>
        </w:rPr>
        <w:t>Tecalor</w:t>
      </w:r>
      <w:proofErr w:type="spellEnd"/>
      <w:r>
        <w:rPr>
          <w:rStyle w:val="Fett"/>
          <w:rFonts w:ascii="Verdana" w:hAnsi="Verdana" w:cs="Arial"/>
          <w:sz w:val="22"/>
          <w:szCs w:val="22"/>
        </w:rPr>
        <w:t xml:space="preserve"> Schulungszentr</w:t>
      </w:r>
      <w:r w:rsidR="00DB50B4">
        <w:rPr>
          <w:rStyle w:val="Fett"/>
          <w:rFonts w:ascii="Verdana" w:hAnsi="Verdana" w:cs="Arial"/>
          <w:sz w:val="22"/>
          <w:szCs w:val="22"/>
        </w:rPr>
        <w:t>en</w:t>
      </w:r>
    </w:p>
    <w:p w:rsidR="004C231C" w:rsidRPr="00FC6193" w:rsidRDefault="004C231C" w:rsidP="004C231C">
      <w:pPr>
        <w:tabs>
          <w:tab w:val="left" w:pos="1985"/>
          <w:tab w:val="left" w:pos="2655"/>
        </w:tabs>
        <w:jc w:val="both"/>
        <w:rPr>
          <w:rStyle w:val="Fett"/>
        </w:rPr>
      </w:pPr>
    </w:p>
    <w:p w:rsidR="0096655F" w:rsidRDefault="007B4146"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Gut vorbereitet auf steigende Effizienzstandards: </w:t>
      </w:r>
      <w:r w:rsidR="00066EBF">
        <w:rPr>
          <w:rFonts w:ascii="Verdana" w:hAnsi="Verdana" w:cs="Arial"/>
          <w:sz w:val="22"/>
          <w:szCs w:val="22"/>
        </w:rPr>
        <w:t xml:space="preserve">Mit der immer wirkungsvolleren Gebäudedämmung steigen auch die Anforderungen an die </w:t>
      </w:r>
      <w:r w:rsidR="00192B38">
        <w:rPr>
          <w:rFonts w:ascii="Verdana" w:hAnsi="Verdana" w:cs="Arial"/>
          <w:sz w:val="22"/>
          <w:szCs w:val="22"/>
        </w:rPr>
        <w:t>System</w:t>
      </w:r>
      <w:r w:rsidR="00066EBF">
        <w:rPr>
          <w:rFonts w:ascii="Verdana" w:hAnsi="Verdana" w:cs="Arial"/>
          <w:sz w:val="22"/>
          <w:szCs w:val="22"/>
        </w:rPr>
        <w:t xml:space="preserve">technik. Um den Energieverbrauch so gering wie möglich zu halten, muss die Heizung optimal dimensioniert sein. Zudem stellt sich durch die immer luftdichteren Bauweisen die Herausforderung einer zuverlässigen Feuchteabfuhr aus den Wohnräumen. Fachbetriebe des SHK-Fachhandwerks sollten sich auf diese neue Rolle der Anlagentechnik einstellen und sich damit langfristig ein zukunftssicheres Geschäftsfeld sichern. Der Hersteller von Wärmepumpen und Lüftungsanlagen Tecalor bietet </w:t>
      </w:r>
      <w:r w:rsidR="0096655F">
        <w:rPr>
          <w:rFonts w:ascii="Verdana" w:hAnsi="Verdana" w:cs="Arial"/>
          <w:sz w:val="22"/>
          <w:szCs w:val="22"/>
        </w:rPr>
        <w:t>seinen Fachpartnern aus dem SHK-</w:t>
      </w:r>
      <w:r w:rsidR="00066EBF">
        <w:rPr>
          <w:rFonts w:ascii="Verdana" w:hAnsi="Verdana" w:cs="Arial"/>
          <w:sz w:val="22"/>
          <w:szCs w:val="22"/>
        </w:rPr>
        <w:t>Fachhandwerk</w:t>
      </w:r>
      <w:r w:rsidR="0096655F">
        <w:rPr>
          <w:rFonts w:ascii="Verdana" w:hAnsi="Verdana" w:cs="Arial"/>
          <w:sz w:val="22"/>
          <w:szCs w:val="22"/>
        </w:rPr>
        <w:t xml:space="preserve"> </w:t>
      </w:r>
      <w:r w:rsidR="00066EBF">
        <w:rPr>
          <w:rFonts w:ascii="Verdana" w:hAnsi="Verdana" w:cs="Arial"/>
          <w:sz w:val="22"/>
          <w:szCs w:val="22"/>
        </w:rPr>
        <w:t xml:space="preserve">die Möglichkeit einer umfassenden Weiterbildung. </w:t>
      </w:r>
      <w:r w:rsidR="0096655F">
        <w:rPr>
          <w:rFonts w:ascii="Verdana" w:hAnsi="Verdana" w:cs="Arial"/>
          <w:sz w:val="22"/>
          <w:szCs w:val="22"/>
        </w:rPr>
        <w:t xml:space="preserve">Dazu </w:t>
      </w:r>
      <w:r w:rsidR="00066EBF">
        <w:rPr>
          <w:rFonts w:ascii="Verdana" w:hAnsi="Verdana" w:cs="Arial"/>
          <w:sz w:val="22"/>
          <w:szCs w:val="22"/>
        </w:rPr>
        <w:t>eröffnet das Unternehmen Anfang 2019 ein neues Schulungszentrum in Nürnberg</w:t>
      </w:r>
      <w:r w:rsidR="0096655F">
        <w:rPr>
          <w:rFonts w:ascii="Verdana" w:hAnsi="Verdana" w:cs="Arial"/>
          <w:sz w:val="22"/>
          <w:szCs w:val="22"/>
        </w:rPr>
        <w:t xml:space="preserve"> und</w:t>
      </w:r>
      <w:r w:rsidR="00066EBF">
        <w:rPr>
          <w:rFonts w:ascii="Verdana" w:hAnsi="Verdana" w:cs="Arial"/>
          <w:sz w:val="22"/>
          <w:szCs w:val="22"/>
        </w:rPr>
        <w:t xml:space="preserve"> verfügt </w:t>
      </w:r>
      <w:r w:rsidR="00192B38">
        <w:rPr>
          <w:rFonts w:ascii="Verdana" w:hAnsi="Verdana" w:cs="Arial"/>
          <w:sz w:val="22"/>
          <w:szCs w:val="22"/>
        </w:rPr>
        <w:t>zukünftig</w:t>
      </w:r>
      <w:r w:rsidR="00066EBF">
        <w:rPr>
          <w:rFonts w:ascii="Verdana" w:hAnsi="Verdana" w:cs="Arial"/>
          <w:sz w:val="22"/>
          <w:szCs w:val="22"/>
        </w:rPr>
        <w:t xml:space="preserve"> </w:t>
      </w:r>
      <w:r w:rsidR="0096655F">
        <w:rPr>
          <w:rFonts w:ascii="Verdana" w:hAnsi="Verdana" w:cs="Arial"/>
          <w:sz w:val="22"/>
          <w:szCs w:val="22"/>
        </w:rPr>
        <w:t xml:space="preserve">neben dem Schulungszentrum am Unternehmenssitz im niedersächsischen Holzminden über eine </w:t>
      </w:r>
      <w:r w:rsidR="00924482">
        <w:rPr>
          <w:rFonts w:ascii="Verdana" w:hAnsi="Verdana" w:cs="Arial"/>
          <w:sz w:val="22"/>
          <w:szCs w:val="22"/>
        </w:rPr>
        <w:t>weitere</w:t>
      </w:r>
      <w:r w:rsidR="0096655F">
        <w:rPr>
          <w:rFonts w:ascii="Verdana" w:hAnsi="Verdana" w:cs="Arial"/>
          <w:sz w:val="22"/>
          <w:szCs w:val="22"/>
        </w:rPr>
        <w:t xml:space="preserve">, hoch moderne Weiterbildungseinrichtung. </w:t>
      </w:r>
    </w:p>
    <w:p w:rsidR="00924482" w:rsidRDefault="00924482" w:rsidP="004C231C">
      <w:pPr>
        <w:tabs>
          <w:tab w:val="left" w:pos="6840"/>
        </w:tabs>
        <w:spacing w:line="360" w:lineRule="auto"/>
        <w:ind w:right="2268"/>
        <w:jc w:val="both"/>
        <w:rPr>
          <w:rFonts w:ascii="Verdana" w:hAnsi="Verdana" w:cs="Arial"/>
          <w:sz w:val="22"/>
          <w:szCs w:val="22"/>
        </w:rPr>
      </w:pPr>
    </w:p>
    <w:p w:rsidR="0096655F" w:rsidRPr="003A7079" w:rsidRDefault="0096655F" w:rsidP="004C231C">
      <w:pPr>
        <w:tabs>
          <w:tab w:val="left" w:pos="6840"/>
        </w:tabs>
        <w:spacing w:line="360" w:lineRule="auto"/>
        <w:ind w:right="2268"/>
        <w:jc w:val="both"/>
        <w:rPr>
          <w:rFonts w:ascii="Verdana" w:hAnsi="Verdana" w:cs="Arial"/>
          <w:b/>
          <w:sz w:val="22"/>
          <w:szCs w:val="22"/>
        </w:rPr>
      </w:pPr>
      <w:r w:rsidRPr="003A7079">
        <w:rPr>
          <w:rFonts w:ascii="Verdana" w:hAnsi="Verdana" w:cs="Arial"/>
          <w:b/>
          <w:sz w:val="22"/>
          <w:szCs w:val="22"/>
        </w:rPr>
        <w:t>Praxisnahes Lernen</w:t>
      </w:r>
    </w:p>
    <w:p w:rsidR="0096655F" w:rsidRDefault="0096655F" w:rsidP="004C231C">
      <w:pPr>
        <w:tabs>
          <w:tab w:val="left" w:pos="6840"/>
        </w:tabs>
        <w:spacing w:line="360" w:lineRule="auto"/>
        <w:ind w:right="2268"/>
        <w:jc w:val="both"/>
        <w:rPr>
          <w:rFonts w:ascii="Verdana" w:hAnsi="Verdana" w:cs="Arial"/>
          <w:sz w:val="22"/>
          <w:szCs w:val="22"/>
        </w:rPr>
      </w:pPr>
    </w:p>
    <w:p w:rsidR="0096655F" w:rsidRDefault="0096655F"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Bei allen Schulungen von Tecalor steht die Praxisnähe im Vordergrund. Fachhandwerker haben in</w:t>
      </w:r>
      <w:r w:rsidR="00192B38">
        <w:rPr>
          <w:rFonts w:ascii="Verdana" w:hAnsi="Verdana" w:cs="Arial"/>
          <w:sz w:val="22"/>
          <w:szCs w:val="22"/>
        </w:rPr>
        <w:t xml:space="preserve"> den Schulungszentren</w:t>
      </w:r>
      <w:r>
        <w:rPr>
          <w:rFonts w:ascii="Verdana" w:hAnsi="Verdana" w:cs="Arial"/>
          <w:sz w:val="22"/>
          <w:szCs w:val="22"/>
        </w:rPr>
        <w:t xml:space="preserve"> Nürnberg</w:t>
      </w:r>
      <w:r w:rsidR="004507DA">
        <w:rPr>
          <w:rFonts w:ascii="Verdana" w:hAnsi="Verdana" w:cs="Arial"/>
          <w:sz w:val="22"/>
          <w:szCs w:val="22"/>
        </w:rPr>
        <w:t xml:space="preserve"> und Holzminden</w:t>
      </w:r>
      <w:r>
        <w:rPr>
          <w:rFonts w:ascii="Verdana" w:hAnsi="Verdana" w:cs="Arial"/>
          <w:sz w:val="22"/>
          <w:szCs w:val="22"/>
        </w:rPr>
        <w:t xml:space="preserve"> die Möglichkeit, die Wärmepumpen und Lüftungsanlagen von </w:t>
      </w:r>
      <w:proofErr w:type="spellStart"/>
      <w:r>
        <w:rPr>
          <w:rFonts w:ascii="Verdana" w:hAnsi="Verdana" w:cs="Arial"/>
          <w:sz w:val="22"/>
          <w:szCs w:val="22"/>
        </w:rPr>
        <w:t>Tecalor</w:t>
      </w:r>
      <w:proofErr w:type="spellEnd"/>
      <w:r>
        <w:rPr>
          <w:rFonts w:ascii="Verdana" w:hAnsi="Verdana" w:cs="Arial"/>
          <w:sz w:val="22"/>
          <w:szCs w:val="22"/>
        </w:rPr>
        <w:t xml:space="preserve"> </w:t>
      </w:r>
      <w:r w:rsidR="00134994">
        <w:rPr>
          <w:rFonts w:ascii="Verdana" w:hAnsi="Verdana" w:cs="Arial"/>
          <w:sz w:val="22"/>
          <w:szCs w:val="22"/>
        </w:rPr>
        <w:t xml:space="preserve">am </w:t>
      </w:r>
      <w:r w:rsidR="00134994">
        <w:rPr>
          <w:rFonts w:ascii="Verdana" w:hAnsi="Verdana" w:cs="Arial"/>
          <w:sz w:val="22"/>
          <w:szCs w:val="22"/>
        </w:rPr>
        <w:lastRenderedPageBreak/>
        <w:t>Objekt</w:t>
      </w:r>
      <w:r>
        <w:rPr>
          <w:rFonts w:ascii="Verdana" w:hAnsi="Verdana" w:cs="Arial"/>
          <w:sz w:val="22"/>
          <w:szCs w:val="22"/>
        </w:rPr>
        <w:t xml:space="preserve"> zu begreifen</w:t>
      </w:r>
      <w:r w:rsidR="00192B38">
        <w:rPr>
          <w:rFonts w:ascii="Verdana" w:hAnsi="Verdana" w:cs="Arial"/>
          <w:sz w:val="22"/>
          <w:szCs w:val="22"/>
        </w:rPr>
        <w:t>, denn v</w:t>
      </w:r>
      <w:r>
        <w:rPr>
          <w:rFonts w:ascii="Verdana" w:hAnsi="Verdana" w:cs="Arial"/>
          <w:sz w:val="22"/>
          <w:szCs w:val="22"/>
        </w:rPr>
        <w:t xml:space="preserve">or Ort befindet sich dazu ein breiter Querschnitt aus dem </w:t>
      </w:r>
      <w:proofErr w:type="spellStart"/>
      <w:r>
        <w:rPr>
          <w:rFonts w:ascii="Verdana" w:hAnsi="Verdana" w:cs="Arial"/>
          <w:sz w:val="22"/>
          <w:szCs w:val="22"/>
        </w:rPr>
        <w:t>Tecalor</w:t>
      </w:r>
      <w:proofErr w:type="spellEnd"/>
      <w:r>
        <w:rPr>
          <w:rFonts w:ascii="Verdana" w:hAnsi="Verdana" w:cs="Arial"/>
          <w:sz w:val="22"/>
          <w:szCs w:val="22"/>
        </w:rPr>
        <w:t>-Sortiment</w:t>
      </w:r>
      <w:r w:rsidR="007D4B89">
        <w:rPr>
          <w:rFonts w:ascii="Verdana" w:hAnsi="Verdana" w:cs="Arial"/>
          <w:sz w:val="22"/>
          <w:szCs w:val="22"/>
        </w:rPr>
        <w:t>, welches sich vom Integralgerät über Lüftungsanlage und Speicher bis hin zu</w:t>
      </w:r>
      <w:r w:rsidR="00F108BC">
        <w:rPr>
          <w:rFonts w:ascii="Verdana" w:hAnsi="Verdana" w:cs="Arial"/>
          <w:sz w:val="22"/>
          <w:szCs w:val="22"/>
        </w:rPr>
        <w:t>r</w:t>
      </w:r>
      <w:r w:rsidR="007D4B89">
        <w:rPr>
          <w:rFonts w:ascii="Verdana" w:hAnsi="Verdana" w:cs="Arial"/>
          <w:sz w:val="22"/>
          <w:szCs w:val="22"/>
        </w:rPr>
        <w:t xml:space="preserve"> Wärmepumpe erstreckt</w:t>
      </w:r>
      <w:r w:rsidR="00770B6F" w:rsidRPr="007903AF">
        <w:rPr>
          <w:rFonts w:ascii="Verdana" w:hAnsi="Verdana" w:cs="Arial"/>
          <w:sz w:val="22"/>
          <w:szCs w:val="22"/>
        </w:rPr>
        <w:t>.</w:t>
      </w:r>
      <w:r w:rsidR="003457B3">
        <w:rPr>
          <w:rFonts w:ascii="Verdana" w:hAnsi="Verdana" w:cs="Arial"/>
          <w:sz w:val="22"/>
          <w:szCs w:val="22"/>
        </w:rPr>
        <w:t xml:space="preserve"> </w:t>
      </w:r>
    </w:p>
    <w:p w:rsidR="00066EBF" w:rsidRDefault="00066EBF" w:rsidP="004C231C">
      <w:pPr>
        <w:tabs>
          <w:tab w:val="left" w:pos="6840"/>
        </w:tabs>
        <w:spacing w:line="360" w:lineRule="auto"/>
        <w:ind w:right="2268"/>
        <w:jc w:val="both"/>
        <w:rPr>
          <w:rFonts w:ascii="Verdana" w:hAnsi="Verdana" w:cs="Arial"/>
          <w:sz w:val="22"/>
          <w:szCs w:val="22"/>
        </w:rPr>
      </w:pPr>
    </w:p>
    <w:p w:rsidR="007903AF" w:rsidRDefault="007903AF" w:rsidP="004C231C">
      <w:pPr>
        <w:tabs>
          <w:tab w:val="left" w:pos="6840"/>
        </w:tabs>
        <w:spacing w:line="360" w:lineRule="auto"/>
        <w:ind w:right="2268"/>
        <w:jc w:val="both"/>
        <w:rPr>
          <w:rFonts w:ascii="Verdana" w:hAnsi="Verdana" w:cs="Arial"/>
          <w:b/>
          <w:sz w:val="22"/>
          <w:szCs w:val="22"/>
        </w:rPr>
      </w:pPr>
      <w:r w:rsidRPr="007903AF">
        <w:rPr>
          <w:rFonts w:ascii="Verdana" w:hAnsi="Verdana" w:cs="Arial"/>
          <w:b/>
          <w:sz w:val="22"/>
          <w:szCs w:val="22"/>
        </w:rPr>
        <w:t>Intensiv</w:t>
      </w:r>
      <w:r w:rsidR="003457B3">
        <w:rPr>
          <w:rFonts w:ascii="Verdana" w:hAnsi="Verdana" w:cs="Arial"/>
          <w:b/>
          <w:sz w:val="22"/>
          <w:szCs w:val="22"/>
        </w:rPr>
        <w:t>kurse</w:t>
      </w:r>
      <w:r w:rsidR="00134994">
        <w:rPr>
          <w:rFonts w:ascii="Verdana" w:hAnsi="Verdana" w:cs="Arial"/>
          <w:b/>
          <w:sz w:val="22"/>
          <w:szCs w:val="22"/>
        </w:rPr>
        <w:t xml:space="preserve"> zu</w:t>
      </w:r>
      <w:r w:rsidR="007D4B89">
        <w:rPr>
          <w:rFonts w:ascii="Verdana" w:hAnsi="Verdana" w:cs="Arial"/>
          <w:b/>
          <w:sz w:val="22"/>
          <w:szCs w:val="22"/>
        </w:rPr>
        <w:t xml:space="preserve"> Lüftung und Wärmepumpen</w:t>
      </w:r>
    </w:p>
    <w:p w:rsidR="00134994" w:rsidRDefault="00134994"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In </w:t>
      </w:r>
      <w:r w:rsidR="00207EC1">
        <w:rPr>
          <w:rFonts w:ascii="Verdana" w:hAnsi="Verdana" w:cs="Arial"/>
          <w:sz w:val="22"/>
          <w:szCs w:val="22"/>
        </w:rPr>
        <w:t xml:space="preserve">den </w:t>
      </w:r>
      <w:r w:rsidR="005B68FE">
        <w:rPr>
          <w:rFonts w:ascii="Verdana" w:hAnsi="Verdana" w:cs="Arial"/>
          <w:sz w:val="22"/>
          <w:szCs w:val="22"/>
        </w:rPr>
        <w:t xml:space="preserve">zweitägigen </w:t>
      </w:r>
      <w:r>
        <w:rPr>
          <w:rFonts w:ascii="Verdana" w:hAnsi="Verdana" w:cs="Arial"/>
          <w:sz w:val="22"/>
          <w:szCs w:val="22"/>
        </w:rPr>
        <w:t>Intensiv</w:t>
      </w:r>
      <w:r w:rsidR="00207EC1">
        <w:rPr>
          <w:rFonts w:ascii="Verdana" w:hAnsi="Verdana" w:cs="Arial"/>
          <w:sz w:val="22"/>
          <w:szCs w:val="22"/>
        </w:rPr>
        <w:t xml:space="preserve">kursen </w:t>
      </w:r>
      <w:r>
        <w:rPr>
          <w:rFonts w:ascii="Verdana" w:hAnsi="Verdana" w:cs="Arial"/>
          <w:sz w:val="22"/>
          <w:szCs w:val="22"/>
        </w:rPr>
        <w:t xml:space="preserve">setzen sich die Teilnehmer in Kleingruppen von </w:t>
      </w:r>
      <w:r w:rsidR="00207EC1">
        <w:rPr>
          <w:rFonts w:ascii="Verdana" w:hAnsi="Verdana" w:cs="Arial"/>
          <w:sz w:val="22"/>
          <w:szCs w:val="22"/>
        </w:rPr>
        <w:t>m</w:t>
      </w:r>
      <w:r w:rsidR="007D4B89">
        <w:rPr>
          <w:rFonts w:ascii="Verdana" w:hAnsi="Verdana" w:cs="Arial"/>
          <w:sz w:val="22"/>
          <w:szCs w:val="22"/>
        </w:rPr>
        <w:t>aximal zwölf</w:t>
      </w:r>
      <w:r>
        <w:rPr>
          <w:rFonts w:ascii="Verdana" w:hAnsi="Verdana" w:cs="Arial"/>
          <w:sz w:val="22"/>
          <w:szCs w:val="22"/>
        </w:rPr>
        <w:t xml:space="preserve"> Personen mit der Montage, Installation und Inbetriebnahme von Lüftungsanlagen beziehungsweise Wärmepumpen auseinander. Die Bandbreite der Schulung reicht von der Funktionsweise und der richtigen Installation der </w:t>
      </w:r>
      <w:proofErr w:type="spellStart"/>
      <w:r>
        <w:rPr>
          <w:rFonts w:ascii="Verdana" w:hAnsi="Verdana" w:cs="Arial"/>
          <w:sz w:val="22"/>
          <w:szCs w:val="22"/>
        </w:rPr>
        <w:t>Tecalor</w:t>
      </w:r>
      <w:proofErr w:type="spellEnd"/>
      <w:r>
        <w:rPr>
          <w:rFonts w:ascii="Verdana" w:hAnsi="Verdana" w:cs="Arial"/>
          <w:sz w:val="22"/>
          <w:szCs w:val="22"/>
        </w:rPr>
        <w:t>-Anlagen über d</w:t>
      </w:r>
      <w:r w:rsidR="00924482">
        <w:rPr>
          <w:rFonts w:ascii="Verdana" w:hAnsi="Verdana" w:cs="Arial"/>
          <w:sz w:val="22"/>
          <w:szCs w:val="22"/>
        </w:rPr>
        <w:t xml:space="preserve">en Geräteaufbau, die Hydraulik </w:t>
      </w:r>
      <w:r>
        <w:rPr>
          <w:rFonts w:ascii="Verdana" w:hAnsi="Verdana" w:cs="Arial"/>
          <w:sz w:val="22"/>
          <w:szCs w:val="22"/>
        </w:rPr>
        <w:t xml:space="preserve">und Sicherheitsorgane bis hin zur Inbetriebnahme, Einstellung und Fehlerbehebung. </w:t>
      </w:r>
    </w:p>
    <w:p w:rsidR="00134994" w:rsidRPr="00134994" w:rsidRDefault="00134994" w:rsidP="004C231C">
      <w:pPr>
        <w:tabs>
          <w:tab w:val="left" w:pos="6840"/>
        </w:tabs>
        <w:spacing w:line="360" w:lineRule="auto"/>
        <w:ind w:right="2268"/>
        <w:jc w:val="both"/>
        <w:rPr>
          <w:rFonts w:ascii="Verdana" w:hAnsi="Verdana" w:cs="Arial"/>
          <w:sz w:val="22"/>
          <w:szCs w:val="22"/>
        </w:rPr>
      </w:pPr>
    </w:p>
    <w:p w:rsidR="00134994" w:rsidRDefault="00134994" w:rsidP="004C231C">
      <w:pPr>
        <w:tabs>
          <w:tab w:val="left" w:pos="6840"/>
        </w:tabs>
        <w:spacing w:line="360" w:lineRule="auto"/>
        <w:ind w:right="2268"/>
        <w:jc w:val="both"/>
        <w:rPr>
          <w:rFonts w:ascii="Verdana" w:hAnsi="Verdana" w:cs="Arial"/>
          <w:b/>
          <w:sz w:val="22"/>
          <w:szCs w:val="22"/>
        </w:rPr>
      </w:pPr>
      <w:r>
        <w:rPr>
          <w:rFonts w:ascii="Verdana" w:hAnsi="Verdana" w:cs="Arial"/>
          <w:b/>
          <w:sz w:val="22"/>
          <w:szCs w:val="22"/>
        </w:rPr>
        <w:t>Wärmepumpen- und Lüftungs-Führerschein</w:t>
      </w:r>
    </w:p>
    <w:p w:rsidR="005B68FE" w:rsidRDefault="00207EC1"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Der</w:t>
      </w:r>
      <w:r w:rsidR="005B68FE" w:rsidRPr="005B68FE">
        <w:rPr>
          <w:rFonts w:ascii="Verdana" w:hAnsi="Verdana" w:cs="Arial"/>
          <w:sz w:val="22"/>
          <w:szCs w:val="22"/>
        </w:rPr>
        <w:t xml:space="preserve"> Erwerb eines Wärmepumpen- oder Lüftungsführerscheins </w:t>
      </w:r>
      <w:r>
        <w:rPr>
          <w:rFonts w:ascii="Verdana" w:hAnsi="Verdana" w:cs="Arial"/>
          <w:sz w:val="22"/>
          <w:szCs w:val="22"/>
        </w:rPr>
        <w:t>qualifiziert</w:t>
      </w:r>
      <w:r w:rsidR="005B68FE">
        <w:rPr>
          <w:rFonts w:ascii="Verdana" w:hAnsi="Verdana" w:cs="Arial"/>
          <w:sz w:val="22"/>
          <w:szCs w:val="22"/>
        </w:rPr>
        <w:t xml:space="preserve"> zu einem sicheren und wirtschaftlichen Betrieb der </w:t>
      </w:r>
      <w:proofErr w:type="spellStart"/>
      <w:r w:rsidR="005B68FE">
        <w:rPr>
          <w:rFonts w:ascii="Verdana" w:hAnsi="Verdana" w:cs="Arial"/>
          <w:sz w:val="22"/>
          <w:szCs w:val="22"/>
        </w:rPr>
        <w:t>Teca</w:t>
      </w:r>
      <w:r w:rsidR="00680D4C">
        <w:rPr>
          <w:rFonts w:ascii="Verdana" w:hAnsi="Verdana" w:cs="Arial"/>
          <w:sz w:val="22"/>
          <w:szCs w:val="22"/>
        </w:rPr>
        <w:t>lor</w:t>
      </w:r>
      <w:proofErr w:type="spellEnd"/>
      <w:r w:rsidR="00680D4C">
        <w:rPr>
          <w:rFonts w:ascii="Verdana" w:hAnsi="Verdana" w:cs="Arial"/>
          <w:sz w:val="22"/>
          <w:szCs w:val="22"/>
        </w:rPr>
        <w:t xml:space="preserve">-Anlagen. An eineinhalb </w:t>
      </w:r>
      <w:r w:rsidR="005B68FE">
        <w:rPr>
          <w:rFonts w:ascii="Verdana" w:hAnsi="Verdana" w:cs="Arial"/>
          <w:sz w:val="22"/>
          <w:szCs w:val="22"/>
        </w:rPr>
        <w:t>Schulungstagen stehen die Auswahl und Unterscheidung der Geräte, Einsatzmöglichkeiten und Installationshinweise</w:t>
      </w:r>
      <w:r w:rsidR="006C47E5">
        <w:rPr>
          <w:rFonts w:ascii="Verdana" w:hAnsi="Verdana" w:cs="Arial"/>
          <w:sz w:val="22"/>
          <w:szCs w:val="22"/>
        </w:rPr>
        <w:t>,</w:t>
      </w:r>
      <w:r w:rsidR="005B68FE">
        <w:rPr>
          <w:rFonts w:ascii="Verdana" w:hAnsi="Verdana" w:cs="Arial"/>
          <w:sz w:val="22"/>
          <w:szCs w:val="22"/>
        </w:rPr>
        <w:t xml:space="preserve"> Inbetriebnahme und Wartung</w:t>
      </w:r>
      <w:r w:rsidR="006C47E5">
        <w:rPr>
          <w:rFonts w:ascii="Verdana" w:hAnsi="Verdana" w:cs="Arial"/>
          <w:sz w:val="22"/>
          <w:szCs w:val="22"/>
        </w:rPr>
        <w:t xml:space="preserve">, die Fehlerdiagnose und Fehlerbehebung sowie die </w:t>
      </w:r>
      <w:proofErr w:type="spellStart"/>
      <w:r w:rsidR="006C47E5">
        <w:rPr>
          <w:rFonts w:ascii="Verdana" w:hAnsi="Verdana" w:cs="Arial"/>
          <w:sz w:val="22"/>
          <w:szCs w:val="22"/>
        </w:rPr>
        <w:t>Reglereinstellun</w:t>
      </w:r>
      <w:r>
        <w:rPr>
          <w:rFonts w:ascii="Verdana" w:hAnsi="Verdana" w:cs="Arial"/>
          <w:sz w:val="22"/>
          <w:szCs w:val="22"/>
        </w:rPr>
        <w:t>gen</w:t>
      </w:r>
      <w:proofErr w:type="spellEnd"/>
      <w:r w:rsidR="006C47E5">
        <w:rPr>
          <w:rFonts w:ascii="Verdana" w:hAnsi="Verdana" w:cs="Arial"/>
          <w:sz w:val="22"/>
          <w:szCs w:val="22"/>
        </w:rPr>
        <w:t xml:space="preserve"> </w:t>
      </w:r>
      <w:r w:rsidR="005B68FE">
        <w:rPr>
          <w:rFonts w:ascii="Verdana" w:hAnsi="Verdana" w:cs="Arial"/>
          <w:sz w:val="22"/>
          <w:szCs w:val="22"/>
        </w:rPr>
        <w:t xml:space="preserve">im Fokus. Zudem </w:t>
      </w:r>
      <w:r w:rsidR="006C47E5">
        <w:rPr>
          <w:rFonts w:ascii="Verdana" w:hAnsi="Verdana" w:cs="Arial"/>
          <w:sz w:val="22"/>
          <w:szCs w:val="22"/>
        </w:rPr>
        <w:t>lernen</w:t>
      </w:r>
      <w:r w:rsidR="005B68FE">
        <w:rPr>
          <w:rFonts w:ascii="Verdana" w:hAnsi="Verdana" w:cs="Arial"/>
          <w:sz w:val="22"/>
          <w:szCs w:val="22"/>
        </w:rPr>
        <w:t xml:space="preserve"> die </w:t>
      </w:r>
      <w:r w:rsidR="00680D4C">
        <w:rPr>
          <w:rFonts w:ascii="Verdana" w:hAnsi="Verdana" w:cs="Arial"/>
          <w:sz w:val="22"/>
          <w:szCs w:val="22"/>
        </w:rPr>
        <w:t>maximal zwölf</w:t>
      </w:r>
      <w:r w:rsidR="005B68FE">
        <w:rPr>
          <w:rFonts w:ascii="Verdana" w:hAnsi="Verdana" w:cs="Arial"/>
          <w:sz w:val="22"/>
          <w:szCs w:val="22"/>
        </w:rPr>
        <w:t xml:space="preserve"> Teilnehmer den Ersatzteil-Shop kennen</w:t>
      </w:r>
      <w:r w:rsidR="006C47E5">
        <w:rPr>
          <w:rFonts w:ascii="Verdana" w:hAnsi="Verdana" w:cs="Arial"/>
          <w:sz w:val="22"/>
          <w:szCs w:val="22"/>
        </w:rPr>
        <w:t xml:space="preserve">. </w:t>
      </w:r>
    </w:p>
    <w:p w:rsidR="00924482" w:rsidRPr="007903AF" w:rsidRDefault="00924482" w:rsidP="004C231C">
      <w:pPr>
        <w:tabs>
          <w:tab w:val="left" w:pos="6840"/>
        </w:tabs>
        <w:spacing w:line="360" w:lineRule="auto"/>
        <w:ind w:right="2268"/>
        <w:jc w:val="both"/>
        <w:rPr>
          <w:rFonts w:ascii="Verdana" w:hAnsi="Verdana" w:cs="Arial"/>
          <w:b/>
          <w:sz w:val="22"/>
          <w:szCs w:val="22"/>
        </w:rPr>
      </w:pPr>
    </w:p>
    <w:p w:rsidR="006A106F" w:rsidRPr="00FC6193" w:rsidRDefault="00680D4C"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Weitere Informationen</w:t>
      </w:r>
      <w:r w:rsidR="00192B38">
        <w:rPr>
          <w:rFonts w:ascii="Verdana" w:hAnsi="Verdana" w:cs="Arial"/>
          <w:sz w:val="22"/>
          <w:szCs w:val="22"/>
        </w:rPr>
        <w:t xml:space="preserve"> unter</w:t>
      </w:r>
      <w:r w:rsidR="006A106F" w:rsidRPr="00FC6193">
        <w:rPr>
          <w:rFonts w:ascii="Verdana" w:hAnsi="Verdana" w:cs="Arial"/>
          <w:sz w:val="22"/>
          <w:szCs w:val="22"/>
        </w:rPr>
        <w:t xml:space="preserve"> www.tecalor.de</w:t>
      </w:r>
      <w:r>
        <w:rPr>
          <w:rFonts w:ascii="Verdana" w:hAnsi="Verdana" w:cs="Arial"/>
          <w:sz w:val="22"/>
          <w:szCs w:val="22"/>
        </w:rPr>
        <w:t>.</w:t>
      </w:r>
    </w:p>
    <w:p w:rsidR="00F2705A" w:rsidRPr="00FC6193" w:rsidRDefault="00F2705A" w:rsidP="004C231C">
      <w:pPr>
        <w:tabs>
          <w:tab w:val="left" w:pos="6840"/>
        </w:tabs>
        <w:spacing w:line="360" w:lineRule="auto"/>
        <w:ind w:right="2268"/>
        <w:jc w:val="both"/>
        <w:rPr>
          <w:rFonts w:ascii="Verdana" w:hAnsi="Verdana" w:cs="Arial"/>
          <w:sz w:val="22"/>
          <w:szCs w:val="22"/>
        </w:rPr>
      </w:pPr>
    </w:p>
    <w:p w:rsidR="00680D4C" w:rsidRDefault="004C231C" w:rsidP="00680D4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bookmarkStart w:id="0" w:name="_GoBack"/>
      <w:bookmarkEnd w:id="0"/>
      <w:r w:rsidR="00A743C1">
        <w:rPr>
          <w:rFonts w:ascii="Verdana" w:hAnsi="Verdana" w:cs="Arial"/>
          <w:sz w:val="22"/>
          <w:szCs w:val="22"/>
        </w:rPr>
        <w:t>2.474</w:t>
      </w:r>
    </w:p>
    <w:p w:rsidR="00680D4C" w:rsidRDefault="00680D4C" w:rsidP="00680D4C">
      <w:pPr>
        <w:tabs>
          <w:tab w:val="left" w:pos="6840"/>
        </w:tabs>
        <w:spacing w:line="360" w:lineRule="auto"/>
        <w:ind w:right="2268"/>
        <w:jc w:val="both"/>
        <w:rPr>
          <w:rFonts w:ascii="Verdana" w:hAnsi="Verdana" w:cs="Arial"/>
          <w:sz w:val="22"/>
          <w:szCs w:val="22"/>
        </w:rPr>
      </w:pPr>
    </w:p>
    <w:p w:rsidR="00A743C1" w:rsidRDefault="00A743C1" w:rsidP="00680D4C">
      <w:pPr>
        <w:tabs>
          <w:tab w:val="left" w:pos="6840"/>
        </w:tabs>
        <w:spacing w:line="360" w:lineRule="auto"/>
        <w:ind w:right="2268"/>
        <w:jc w:val="both"/>
        <w:rPr>
          <w:rFonts w:ascii="Verdana" w:hAnsi="Verdana" w:cs="Arial"/>
          <w:sz w:val="21"/>
          <w:szCs w:val="21"/>
        </w:rPr>
      </w:pPr>
    </w:p>
    <w:p w:rsidR="006A106F" w:rsidRPr="00FC6193" w:rsidRDefault="00192B38" w:rsidP="00680D4C">
      <w:pPr>
        <w:tabs>
          <w:tab w:val="left" w:pos="6840"/>
        </w:tabs>
        <w:spacing w:line="360" w:lineRule="auto"/>
        <w:ind w:right="2268"/>
        <w:jc w:val="both"/>
        <w:rPr>
          <w:rFonts w:ascii="Verdana" w:hAnsi="Verdana" w:cs="Arial"/>
          <w:sz w:val="21"/>
          <w:szCs w:val="21"/>
        </w:rPr>
      </w:pPr>
      <w:r>
        <w:rPr>
          <w:rFonts w:ascii="Verdana" w:hAnsi="Verdana" w:cs="Arial"/>
          <w:sz w:val="21"/>
          <w:szCs w:val="21"/>
        </w:rPr>
        <w:lastRenderedPageBreak/>
        <w:t>Kontakt</w:t>
      </w:r>
      <w:r w:rsidR="006A106F" w:rsidRPr="00FC6193">
        <w:rPr>
          <w:rFonts w:ascii="Verdana" w:hAnsi="Verdana" w:cs="Arial"/>
          <w:sz w:val="21"/>
          <w:szCs w:val="21"/>
        </w:rPr>
        <w:t>:</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6A106F" w:rsidRPr="004C7377" w:rsidRDefault="006A106F" w:rsidP="006A106F">
      <w:pPr>
        <w:ind w:right="2268"/>
        <w:jc w:val="both"/>
        <w:outlineLvl w:val="0"/>
        <w:rPr>
          <w:rFonts w:ascii="Verdana" w:hAnsi="Verdana" w:cs="Arial"/>
          <w:sz w:val="21"/>
          <w:szCs w:val="21"/>
        </w:rPr>
      </w:pPr>
      <w:r w:rsidRPr="004C7377">
        <w:rPr>
          <w:rFonts w:ascii="Verdana" w:hAnsi="Verdana" w:cs="Arial"/>
          <w:b/>
          <w:sz w:val="21"/>
          <w:szCs w:val="21"/>
        </w:rPr>
        <w:t xml:space="preserve">Tecalor: </w:t>
      </w:r>
      <w:r w:rsidRPr="004C7377">
        <w:rPr>
          <w:rFonts w:ascii="Verdana" w:hAnsi="Verdana" w:cs="Arial"/>
          <w:b/>
          <w:sz w:val="21"/>
          <w:szCs w:val="21"/>
        </w:rPr>
        <w:tab/>
      </w:r>
      <w:r w:rsidRPr="004C7377">
        <w:rPr>
          <w:rFonts w:ascii="Verdana" w:hAnsi="Verdana" w:cs="Arial"/>
          <w:b/>
          <w:sz w:val="21"/>
          <w:szCs w:val="21"/>
        </w:rPr>
        <w:tab/>
      </w:r>
      <w:r w:rsidRPr="004C7377">
        <w:rPr>
          <w:rFonts w:ascii="Verdana" w:hAnsi="Verdana" w:cs="Arial"/>
          <w:sz w:val="21"/>
          <w:szCs w:val="21"/>
        </w:rPr>
        <w:t>Internet:</w:t>
      </w:r>
      <w:r w:rsidRPr="004C7377">
        <w:rPr>
          <w:rFonts w:ascii="Verdana" w:hAnsi="Verdana" w:cs="Arial"/>
          <w:sz w:val="21"/>
          <w:szCs w:val="21"/>
        </w:rPr>
        <w:tab/>
        <w:t>www.tecalor.de</w:t>
      </w:r>
    </w:p>
    <w:p w:rsidR="006A106F" w:rsidRPr="004C7377" w:rsidRDefault="006A106F" w:rsidP="006A106F">
      <w:pPr>
        <w:ind w:left="1416" w:right="2268" w:firstLine="708"/>
        <w:jc w:val="both"/>
        <w:rPr>
          <w:rFonts w:ascii="Verdana" w:hAnsi="Verdana" w:cs="Arial"/>
          <w:sz w:val="21"/>
          <w:szCs w:val="21"/>
        </w:rPr>
      </w:pPr>
      <w:r w:rsidRPr="004C7377">
        <w:rPr>
          <w:rFonts w:ascii="Verdana" w:hAnsi="Verdana" w:cs="Arial"/>
          <w:sz w:val="21"/>
          <w:szCs w:val="21"/>
        </w:rPr>
        <w:t xml:space="preserve">E-Mail: </w:t>
      </w:r>
      <w:r w:rsidRPr="004C7377">
        <w:rPr>
          <w:rFonts w:ascii="Verdana" w:hAnsi="Verdana" w:cs="Arial"/>
          <w:sz w:val="21"/>
          <w:szCs w:val="21"/>
        </w:rPr>
        <w:tab/>
        <w:t>info@tecalor.de</w:t>
      </w:r>
    </w:p>
    <w:p w:rsidR="006A106F" w:rsidRPr="00FC6193" w:rsidRDefault="00680D4C" w:rsidP="006A106F">
      <w:pPr>
        <w:tabs>
          <w:tab w:val="left" w:pos="3544"/>
        </w:tabs>
        <w:ind w:left="1416" w:right="2268" w:firstLine="708"/>
        <w:jc w:val="both"/>
        <w:rPr>
          <w:rFonts w:ascii="Verdana" w:hAnsi="Verdana" w:cs="Arial"/>
          <w:sz w:val="21"/>
          <w:szCs w:val="21"/>
        </w:rPr>
      </w:pPr>
      <w:r>
        <w:rPr>
          <w:rFonts w:ascii="Verdana" w:hAnsi="Verdana" w:cs="Arial"/>
          <w:sz w:val="21"/>
          <w:szCs w:val="21"/>
        </w:rPr>
        <w:t xml:space="preserve">Telefon: </w:t>
      </w:r>
      <w:r>
        <w:rPr>
          <w:rFonts w:ascii="Verdana" w:hAnsi="Verdana" w:cs="Arial"/>
          <w:sz w:val="21"/>
          <w:szCs w:val="21"/>
        </w:rPr>
        <w:tab/>
        <w:t>05531 99068950</w:t>
      </w:r>
      <w:r w:rsidR="006A106F" w:rsidRPr="00FC6193">
        <w:rPr>
          <w:rFonts w:ascii="Verdana" w:hAnsi="Verdana" w:cs="Arial"/>
          <w:sz w:val="21"/>
          <w:szCs w:val="21"/>
        </w:rPr>
        <w:t>82</w:t>
      </w:r>
    </w:p>
    <w:p w:rsidR="006A106F" w:rsidRPr="00FC6193" w:rsidRDefault="006A106F" w:rsidP="006A106F">
      <w:pPr>
        <w:spacing w:line="360" w:lineRule="auto"/>
        <w:ind w:left="1416" w:right="2268" w:firstLine="708"/>
        <w:jc w:val="both"/>
        <w:rPr>
          <w:rFonts w:ascii="Verdana" w:hAnsi="Verdana" w:cs="Arial"/>
          <w:sz w:val="22"/>
          <w:szCs w:val="22"/>
        </w:rPr>
      </w:pPr>
    </w:p>
    <w:p w:rsidR="006A106F" w:rsidRPr="00FC6193" w:rsidRDefault="00924482" w:rsidP="00924482">
      <w:pPr>
        <w:pStyle w:val="Textkrper"/>
        <w:tabs>
          <w:tab w:val="left" w:pos="2127"/>
        </w:tabs>
        <w:ind w:right="2268"/>
        <w:rPr>
          <w:rFonts w:ascii="Verdana" w:hAnsi="Verdana" w:cs="Arial"/>
          <w:sz w:val="21"/>
          <w:szCs w:val="21"/>
        </w:rPr>
      </w:pPr>
      <w:r>
        <w:rPr>
          <w:rFonts w:ascii="Verdana" w:hAnsi="Verdana" w:cs="Arial"/>
          <w:b/>
          <w:sz w:val="21"/>
          <w:szCs w:val="21"/>
        </w:rPr>
        <w:t>Presse</w:t>
      </w:r>
      <w:r w:rsidR="006A106F" w:rsidRPr="00FC6193">
        <w:rPr>
          <w:rFonts w:ascii="Verdana" w:hAnsi="Verdana" w:cs="Arial"/>
          <w:b/>
          <w:sz w:val="21"/>
          <w:szCs w:val="21"/>
        </w:rPr>
        <w:t>:</w:t>
      </w:r>
      <w:r w:rsidR="006A106F" w:rsidRPr="00FC6193">
        <w:rPr>
          <w:rFonts w:ascii="Verdana" w:hAnsi="Verdana" w:cs="Arial"/>
          <w:b/>
          <w:sz w:val="21"/>
          <w:szCs w:val="21"/>
        </w:rPr>
        <w:tab/>
      </w:r>
      <w:r w:rsidR="006A106F" w:rsidRPr="00FC6193">
        <w:rPr>
          <w:rFonts w:ascii="Verdana" w:hAnsi="Verdana" w:cs="Arial"/>
          <w:sz w:val="21"/>
          <w:szCs w:val="21"/>
        </w:rPr>
        <w:t>KOOB Agentur für Public Relations</w:t>
      </w:r>
      <w:r w:rsidR="00357604">
        <w:rPr>
          <w:rFonts w:ascii="Verdana" w:hAnsi="Verdana" w:cs="Arial"/>
          <w:sz w:val="21"/>
          <w:szCs w:val="21"/>
        </w:rPr>
        <w:t xml:space="preserve"> GmbH</w:t>
      </w:r>
    </w:p>
    <w:p w:rsidR="006A106F" w:rsidRPr="00FC6193" w:rsidRDefault="00924482" w:rsidP="00924482">
      <w:pPr>
        <w:pStyle w:val="Liste"/>
        <w:tabs>
          <w:tab w:val="left" w:pos="2127"/>
        </w:tabs>
        <w:ind w:right="2268"/>
        <w:jc w:val="both"/>
        <w:rPr>
          <w:rFonts w:ascii="Verdana" w:hAnsi="Verdana" w:cs="Arial"/>
          <w:sz w:val="21"/>
          <w:szCs w:val="21"/>
        </w:rPr>
      </w:pPr>
      <w:r>
        <w:rPr>
          <w:rFonts w:ascii="Verdana" w:hAnsi="Verdana" w:cs="Arial"/>
          <w:sz w:val="21"/>
          <w:szCs w:val="21"/>
        </w:rPr>
        <w:tab/>
      </w:r>
      <w:r>
        <w:rPr>
          <w:rFonts w:ascii="Verdana" w:hAnsi="Verdana" w:cs="Arial"/>
          <w:sz w:val="21"/>
          <w:szCs w:val="21"/>
        </w:rPr>
        <w:tab/>
      </w:r>
      <w:r w:rsidR="006A106F" w:rsidRPr="00FC6193">
        <w:rPr>
          <w:rFonts w:ascii="Verdana" w:hAnsi="Verdana" w:cs="Arial"/>
          <w:sz w:val="21"/>
          <w:szCs w:val="21"/>
        </w:rPr>
        <w:t>Solinger Straße 13 | 45481 Mülheim a.d.R.</w:t>
      </w:r>
    </w:p>
    <w:p w:rsidR="006A106F" w:rsidRPr="00FC6193" w:rsidRDefault="00924482" w:rsidP="00924482">
      <w:pPr>
        <w:tabs>
          <w:tab w:val="left" w:pos="2127"/>
          <w:tab w:val="left" w:pos="3544"/>
          <w:tab w:val="left" w:pos="6840"/>
        </w:tabs>
        <w:ind w:right="2268"/>
        <w:jc w:val="both"/>
        <w:rPr>
          <w:rFonts w:ascii="Verdana" w:hAnsi="Verdana" w:cs="Arial"/>
          <w:sz w:val="21"/>
          <w:szCs w:val="21"/>
        </w:rPr>
      </w:pPr>
      <w:r>
        <w:rPr>
          <w:rFonts w:ascii="Verdana" w:hAnsi="Verdana" w:cs="Arial"/>
          <w:sz w:val="21"/>
          <w:szCs w:val="21"/>
        </w:rPr>
        <w:tab/>
      </w:r>
      <w:r w:rsidR="006A106F" w:rsidRPr="00FC6193">
        <w:rPr>
          <w:rFonts w:ascii="Verdana" w:hAnsi="Verdana" w:cs="Arial"/>
          <w:sz w:val="21"/>
          <w:szCs w:val="21"/>
        </w:rPr>
        <w:t xml:space="preserve">Internet: </w:t>
      </w:r>
      <w:r w:rsidR="006A106F" w:rsidRPr="00FC6193">
        <w:rPr>
          <w:rFonts w:ascii="Verdana" w:hAnsi="Verdana" w:cs="Arial"/>
          <w:sz w:val="21"/>
          <w:szCs w:val="21"/>
        </w:rPr>
        <w:tab/>
        <w:t>www.koob-pr.com</w:t>
      </w:r>
    </w:p>
    <w:p w:rsidR="006A106F" w:rsidRPr="00FC6193" w:rsidRDefault="00924482" w:rsidP="00924482">
      <w:pPr>
        <w:tabs>
          <w:tab w:val="left" w:pos="2127"/>
          <w:tab w:val="left" w:pos="3544"/>
          <w:tab w:val="left" w:pos="6840"/>
        </w:tabs>
        <w:ind w:right="2268"/>
        <w:jc w:val="both"/>
        <w:rPr>
          <w:rFonts w:ascii="Verdana" w:hAnsi="Verdana" w:cs="Arial"/>
          <w:sz w:val="21"/>
          <w:szCs w:val="21"/>
        </w:rPr>
      </w:pPr>
      <w:r>
        <w:rPr>
          <w:rFonts w:ascii="Verdana" w:hAnsi="Verdana" w:cs="Arial"/>
          <w:sz w:val="21"/>
          <w:szCs w:val="21"/>
        </w:rPr>
        <w:tab/>
      </w:r>
      <w:r w:rsidR="006A106F" w:rsidRPr="00FC6193">
        <w:rPr>
          <w:rFonts w:ascii="Verdana" w:hAnsi="Verdana" w:cs="Arial"/>
          <w:sz w:val="21"/>
          <w:szCs w:val="21"/>
        </w:rPr>
        <w:t xml:space="preserve">E-Mail: </w:t>
      </w:r>
      <w:r w:rsidR="006A106F" w:rsidRPr="00FC6193">
        <w:rPr>
          <w:rFonts w:ascii="Verdana" w:hAnsi="Verdana" w:cs="Arial"/>
          <w:sz w:val="21"/>
          <w:szCs w:val="21"/>
        </w:rPr>
        <w:tab/>
      </w:r>
      <w:r w:rsidR="004507DA">
        <w:rPr>
          <w:rFonts w:ascii="Verdana" w:hAnsi="Verdana" w:cs="Arial"/>
          <w:sz w:val="21"/>
          <w:szCs w:val="21"/>
        </w:rPr>
        <w:t>Nicole.Wicher</w:t>
      </w:r>
      <w:r w:rsidR="006A106F" w:rsidRPr="00FC6193">
        <w:rPr>
          <w:rFonts w:ascii="Verdana" w:hAnsi="Verdana" w:cs="Arial"/>
          <w:sz w:val="21"/>
          <w:szCs w:val="21"/>
        </w:rPr>
        <w:t>@koob-pr.com</w:t>
      </w:r>
    </w:p>
    <w:p w:rsidR="006A106F" w:rsidRPr="00FC6193" w:rsidRDefault="00924482" w:rsidP="00924482">
      <w:pPr>
        <w:tabs>
          <w:tab w:val="left" w:pos="2127"/>
          <w:tab w:val="left" w:pos="3544"/>
          <w:tab w:val="left" w:pos="6840"/>
        </w:tabs>
        <w:ind w:right="2268"/>
        <w:jc w:val="both"/>
        <w:rPr>
          <w:rFonts w:ascii="Verdana" w:hAnsi="Verdana" w:cs="Arial"/>
          <w:sz w:val="21"/>
          <w:szCs w:val="21"/>
        </w:rPr>
      </w:pPr>
      <w:r>
        <w:rPr>
          <w:rFonts w:ascii="Verdana" w:hAnsi="Verdana" w:cs="Arial"/>
          <w:sz w:val="21"/>
          <w:szCs w:val="21"/>
        </w:rPr>
        <w:tab/>
      </w:r>
      <w:r w:rsidR="004507DA">
        <w:rPr>
          <w:rFonts w:ascii="Verdana" w:hAnsi="Verdana" w:cs="Arial"/>
          <w:sz w:val="21"/>
          <w:szCs w:val="21"/>
        </w:rPr>
        <w:t xml:space="preserve">Telefon: </w:t>
      </w:r>
      <w:r w:rsidR="004507DA">
        <w:rPr>
          <w:rFonts w:ascii="Verdana" w:hAnsi="Verdana" w:cs="Arial"/>
          <w:sz w:val="21"/>
          <w:szCs w:val="21"/>
        </w:rPr>
        <w:tab/>
        <w:t>0208 4696-145</w:t>
      </w:r>
    </w:p>
    <w:p w:rsidR="006A106F" w:rsidRPr="00FC6193" w:rsidRDefault="00924482" w:rsidP="00924482">
      <w:pPr>
        <w:tabs>
          <w:tab w:val="left" w:pos="2127"/>
          <w:tab w:val="left" w:pos="3544"/>
          <w:tab w:val="left" w:pos="6840"/>
        </w:tabs>
        <w:ind w:right="2268"/>
        <w:jc w:val="both"/>
        <w:rPr>
          <w:rFonts w:ascii="Verdana" w:hAnsi="Verdana" w:cs="Arial"/>
          <w:sz w:val="21"/>
          <w:szCs w:val="21"/>
        </w:rPr>
      </w:pPr>
      <w:r>
        <w:rPr>
          <w:rFonts w:ascii="Verdana" w:hAnsi="Verdana" w:cs="Arial"/>
          <w:sz w:val="21"/>
          <w:szCs w:val="21"/>
        </w:rPr>
        <w:tab/>
      </w:r>
      <w:r w:rsidR="006A106F" w:rsidRPr="00FC6193">
        <w:rPr>
          <w:rFonts w:ascii="Verdana" w:hAnsi="Verdana" w:cs="Arial"/>
          <w:sz w:val="21"/>
          <w:szCs w:val="21"/>
        </w:rPr>
        <w:t xml:space="preserve">Fax: </w:t>
      </w:r>
      <w:r w:rsidR="006A106F" w:rsidRPr="00FC6193">
        <w:rPr>
          <w:rFonts w:ascii="Verdana" w:hAnsi="Verdana" w:cs="Arial"/>
          <w:sz w:val="21"/>
          <w:szCs w:val="21"/>
        </w:rPr>
        <w:tab/>
        <w:t>0208 4696-300</w:t>
      </w:r>
    </w:p>
    <w:p w:rsidR="004C231C" w:rsidRDefault="004C231C" w:rsidP="004C231C">
      <w:pPr>
        <w:ind w:right="2268"/>
        <w:rPr>
          <w:rFonts w:ascii="Verdana" w:hAnsi="Verdana"/>
        </w:rPr>
      </w:pPr>
    </w:p>
    <w:p w:rsidR="00A743C1" w:rsidRDefault="00A743C1" w:rsidP="004C231C">
      <w:pPr>
        <w:ind w:right="2268"/>
        <w:rPr>
          <w:rFonts w:ascii="Verdana" w:hAnsi="Verdana"/>
        </w:rPr>
      </w:pPr>
    </w:p>
    <w:p w:rsidR="006B4B9E" w:rsidRPr="00FC6193" w:rsidRDefault="006B4B9E" w:rsidP="004C231C">
      <w:pPr>
        <w:ind w:right="2268"/>
        <w:rPr>
          <w:rFonts w:ascii="Verdana" w:hAnsi="Verdana"/>
        </w:rPr>
      </w:pPr>
      <w:r>
        <w:rPr>
          <w:rFonts w:ascii="Verdana" w:hAnsi="Verdana"/>
        </w:rPr>
        <w:t xml:space="preserve">Bildmaterial: </w:t>
      </w:r>
    </w:p>
    <w:p w:rsidR="004C231C" w:rsidRDefault="004C231C" w:rsidP="00F2705A">
      <w:pPr>
        <w:rPr>
          <w:rFonts w:ascii="Verdana" w:hAnsi="Verdana"/>
        </w:rPr>
      </w:pPr>
    </w:p>
    <w:p w:rsidR="00A743C1" w:rsidRDefault="00A743C1" w:rsidP="00A743C1">
      <w:pPr>
        <w:spacing w:line="360" w:lineRule="auto"/>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149225</wp:posOffset>
            </wp:positionV>
            <wp:extent cx="3009900" cy="3562350"/>
            <wp:effectExtent l="19050" t="0" r="0" b="0"/>
            <wp:wrapTight wrapText="bothSides">
              <wp:wrapPolygon edited="0">
                <wp:start x="-137" y="0"/>
                <wp:lineTo x="-137" y="21484"/>
                <wp:lineTo x="21600" y="21484"/>
                <wp:lineTo x="21600" y="0"/>
                <wp:lineTo x="-137" y="0"/>
              </wp:wrapPolygon>
            </wp:wrapTight>
            <wp:docPr id="2" name="Bild 2" descr="K:\Kunden\tecalor\Etat 2018\Jobs\18-010 Presseinformationen\PI 4 - neues Schulungszentrum Nürnberg\Bildmaterial\000000_1810_TEC_Schulungsprospek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unden\tecalor\Etat 2018\Jobs\18-010 Presseinformationen\PI 4 - neues Schulungszentrum Nürnberg\Bildmaterial\000000_1810_TEC_Schulungsprospekt_2019.jpg"/>
                    <pic:cNvPicPr>
                      <a:picLocks noChangeAspect="1" noChangeArrowheads="1"/>
                    </pic:cNvPicPr>
                  </pic:nvPicPr>
                  <pic:blipFill>
                    <a:blip r:embed="rId7" cstate="print"/>
                    <a:srcRect b="16434"/>
                    <a:stretch>
                      <a:fillRect/>
                    </a:stretch>
                  </pic:blipFill>
                  <pic:spPr bwMode="auto">
                    <a:xfrm>
                      <a:off x="0" y="0"/>
                      <a:ext cx="3009900" cy="3562350"/>
                    </a:xfrm>
                    <a:prstGeom prst="rect">
                      <a:avLst/>
                    </a:prstGeom>
                    <a:noFill/>
                    <a:ln w="9525">
                      <a:noFill/>
                      <a:miter lim="800000"/>
                      <a:headEnd/>
                      <a:tailEnd/>
                    </a:ln>
                  </pic:spPr>
                </pic:pic>
              </a:graphicData>
            </a:graphic>
          </wp:anchor>
        </w:drawing>
      </w: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A743C1" w:rsidRDefault="00A743C1" w:rsidP="00A743C1">
      <w:pPr>
        <w:spacing w:line="360" w:lineRule="auto"/>
        <w:rPr>
          <w:rFonts w:ascii="Verdana" w:hAnsi="Verdana"/>
        </w:rPr>
      </w:pPr>
    </w:p>
    <w:p w:rsidR="006B4B9E" w:rsidRDefault="006B4B9E" w:rsidP="00A743C1">
      <w:pPr>
        <w:spacing w:line="360" w:lineRule="auto"/>
        <w:ind w:right="2268"/>
        <w:jc w:val="both"/>
        <w:rPr>
          <w:rFonts w:ascii="Verdana" w:hAnsi="Verdana"/>
        </w:rPr>
      </w:pPr>
      <w:r>
        <w:rPr>
          <w:rFonts w:ascii="Verdana" w:hAnsi="Verdana"/>
        </w:rPr>
        <w:t xml:space="preserve">Bildunterschrift: </w:t>
      </w:r>
      <w:r w:rsidR="00DF7E8D" w:rsidRPr="00DF7E8D">
        <w:rPr>
          <w:rFonts w:ascii="Verdana" w:hAnsi="Verdana"/>
          <w:lang w:eastAsia="en-US"/>
        </w:rPr>
        <w:t>Neben dem Schulun</w:t>
      </w:r>
      <w:r w:rsidR="00DF7E8D">
        <w:rPr>
          <w:rFonts w:ascii="Verdana" w:hAnsi="Verdana"/>
          <w:lang w:eastAsia="en-US"/>
        </w:rPr>
        <w:t xml:space="preserve">gszentrum in Holzminden bietet </w:t>
      </w:r>
      <w:proofErr w:type="spellStart"/>
      <w:r w:rsidR="00DF7E8D">
        <w:rPr>
          <w:rFonts w:ascii="Verdana" w:hAnsi="Verdana"/>
          <w:lang w:eastAsia="en-US"/>
        </w:rPr>
        <w:t>T</w:t>
      </w:r>
      <w:r w:rsidR="00DF7E8D" w:rsidRPr="00DF7E8D">
        <w:rPr>
          <w:rFonts w:ascii="Verdana" w:hAnsi="Verdana"/>
          <w:lang w:eastAsia="en-US"/>
        </w:rPr>
        <w:t>ecalor</w:t>
      </w:r>
      <w:proofErr w:type="spellEnd"/>
      <w:r w:rsidR="00DF7E8D" w:rsidRPr="00DF7E8D">
        <w:rPr>
          <w:rFonts w:ascii="Verdana" w:hAnsi="Verdana"/>
          <w:lang w:eastAsia="en-US"/>
        </w:rPr>
        <w:t xml:space="preserve"> ab 2019 auch Weiterbildungen am neuen Schulungszentrum in Nürnberg an.</w:t>
      </w:r>
      <w:r w:rsidR="00DF7E8D">
        <w:rPr>
          <w:rFonts w:ascii="Verdana" w:hAnsi="Verdana"/>
        </w:rPr>
        <w:t xml:space="preserve"> </w:t>
      </w:r>
      <w:r>
        <w:rPr>
          <w:rFonts w:ascii="Verdana" w:hAnsi="Verdana"/>
        </w:rPr>
        <w:t xml:space="preserve">(Bildquelle: </w:t>
      </w:r>
      <w:proofErr w:type="spellStart"/>
      <w:r w:rsidR="00FB5A16">
        <w:rPr>
          <w:rFonts w:ascii="Verdana" w:hAnsi="Verdana"/>
        </w:rPr>
        <w:t>T</w:t>
      </w:r>
      <w:r>
        <w:rPr>
          <w:rFonts w:ascii="Verdana" w:hAnsi="Verdana"/>
        </w:rPr>
        <w:t>ecalor</w:t>
      </w:r>
      <w:proofErr w:type="spellEnd"/>
      <w:r>
        <w:rPr>
          <w:rFonts w:ascii="Verdana" w:hAnsi="Verdana"/>
        </w:rPr>
        <w:t>)</w:t>
      </w:r>
    </w:p>
    <w:p w:rsidR="006B4B9E" w:rsidRPr="00FC6193" w:rsidRDefault="006B4B9E" w:rsidP="00F2705A">
      <w:pPr>
        <w:rPr>
          <w:rFonts w:ascii="Verdana" w:hAnsi="Verdana"/>
        </w:rPr>
      </w:pPr>
    </w:p>
    <w:p w:rsidR="00135DBF" w:rsidRDefault="006B4B9E" w:rsidP="00F2705A">
      <w:pPr>
        <w:rPr>
          <w:rFonts w:ascii="Verdana" w:hAnsi="Verdana"/>
        </w:rPr>
      </w:pPr>
      <w:r>
        <w:rPr>
          <w:rFonts w:ascii="Verdana" w:hAnsi="Verdana"/>
          <w:noProof/>
        </w:rPr>
        <w:lastRenderedPageBreak/>
        <w:drawing>
          <wp:inline distT="0" distB="0" distL="0" distR="0">
            <wp:extent cx="3752850" cy="3226224"/>
            <wp:effectExtent l="19050" t="0" r="0" b="0"/>
            <wp:docPr id="1" name="Bild 1" descr="K:\Kunden\tecalor\Etat 2018\Jobs\18-010 Presseinformationen\PI 4 - neues Schulungszentrum Nürnberg\Bildmaterial\tecalor-26_Bild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tecalor\Etat 2018\Jobs\18-010 Presseinformationen\PI 4 - neues Schulungszentrum Nürnberg\Bildmaterial\tecalor-26_Bildausschnitt.jpg"/>
                    <pic:cNvPicPr>
                      <a:picLocks noChangeAspect="1" noChangeArrowheads="1"/>
                    </pic:cNvPicPr>
                  </pic:nvPicPr>
                  <pic:blipFill>
                    <a:blip r:embed="rId8" cstate="print"/>
                    <a:srcRect/>
                    <a:stretch>
                      <a:fillRect/>
                    </a:stretch>
                  </pic:blipFill>
                  <pic:spPr bwMode="auto">
                    <a:xfrm>
                      <a:off x="0" y="0"/>
                      <a:ext cx="3752347" cy="3225791"/>
                    </a:xfrm>
                    <a:prstGeom prst="rect">
                      <a:avLst/>
                    </a:prstGeom>
                    <a:noFill/>
                    <a:ln w="9525">
                      <a:noFill/>
                      <a:miter lim="800000"/>
                      <a:headEnd/>
                      <a:tailEnd/>
                    </a:ln>
                  </pic:spPr>
                </pic:pic>
              </a:graphicData>
            </a:graphic>
          </wp:inline>
        </w:drawing>
      </w:r>
    </w:p>
    <w:p w:rsidR="00A743C1" w:rsidRDefault="00A743C1" w:rsidP="006B4B9E">
      <w:pPr>
        <w:tabs>
          <w:tab w:val="left" w:pos="6840"/>
        </w:tabs>
        <w:spacing w:line="360" w:lineRule="auto"/>
        <w:ind w:right="2268"/>
        <w:jc w:val="both"/>
        <w:rPr>
          <w:rFonts w:ascii="Verdana" w:hAnsi="Verdana"/>
        </w:rPr>
      </w:pPr>
    </w:p>
    <w:p w:rsidR="006B4B9E" w:rsidRPr="006B4B9E" w:rsidRDefault="006B4B9E" w:rsidP="006B4B9E">
      <w:pPr>
        <w:tabs>
          <w:tab w:val="left" w:pos="6840"/>
        </w:tabs>
        <w:spacing w:line="360" w:lineRule="auto"/>
        <w:ind w:right="2268"/>
        <w:jc w:val="both"/>
        <w:rPr>
          <w:rFonts w:ascii="Verdana" w:hAnsi="Verdana" w:cs="Arial"/>
          <w:sz w:val="22"/>
          <w:szCs w:val="22"/>
        </w:rPr>
      </w:pPr>
      <w:r>
        <w:rPr>
          <w:rFonts w:ascii="Verdana" w:hAnsi="Verdana"/>
        </w:rPr>
        <w:t xml:space="preserve">Bildunterschrift: </w:t>
      </w:r>
      <w:r w:rsidR="00DF7E8D">
        <w:rPr>
          <w:rFonts w:ascii="Verdana" w:hAnsi="Verdana"/>
          <w:lang w:eastAsia="en-US"/>
        </w:rPr>
        <w:t xml:space="preserve">Die </w:t>
      </w:r>
      <w:r w:rsidR="00A743C1" w:rsidRPr="00DF7E8D">
        <w:rPr>
          <w:rFonts w:ascii="Verdana" w:hAnsi="Verdana"/>
          <w:lang w:eastAsia="en-US"/>
        </w:rPr>
        <w:t xml:space="preserve">Schulungen </w:t>
      </w:r>
      <w:r w:rsidR="00A743C1">
        <w:rPr>
          <w:rFonts w:ascii="Verdana" w:hAnsi="Verdana"/>
          <w:lang w:eastAsia="en-US"/>
        </w:rPr>
        <w:t xml:space="preserve">von </w:t>
      </w:r>
      <w:proofErr w:type="spellStart"/>
      <w:r w:rsidR="00DF7E8D">
        <w:rPr>
          <w:rFonts w:ascii="Verdana" w:hAnsi="Verdana"/>
          <w:lang w:eastAsia="en-US"/>
        </w:rPr>
        <w:t>T</w:t>
      </w:r>
      <w:r w:rsidR="00DF7E8D" w:rsidRPr="00DF7E8D">
        <w:rPr>
          <w:rFonts w:ascii="Verdana" w:hAnsi="Verdana"/>
          <w:lang w:eastAsia="en-US"/>
        </w:rPr>
        <w:t>ecalor</w:t>
      </w:r>
      <w:proofErr w:type="spellEnd"/>
      <w:r w:rsidR="00DF7E8D" w:rsidRPr="00DF7E8D">
        <w:rPr>
          <w:rFonts w:ascii="Verdana" w:hAnsi="Verdana"/>
          <w:lang w:eastAsia="en-US"/>
        </w:rPr>
        <w:t xml:space="preserve"> bieten ganzjährig Produkt- und Systemtechnik-Seminare mit hohem Praxisbez</w:t>
      </w:r>
      <w:r w:rsidR="00B23563">
        <w:rPr>
          <w:rFonts w:ascii="Verdana" w:hAnsi="Verdana"/>
          <w:lang w:eastAsia="en-US"/>
        </w:rPr>
        <w:t>ug an. Für Demonstrationszwecke</w:t>
      </w:r>
      <w:r w:rsidR="00DF7E8D" w:rsidRPr="00DF7E8D">
        <w:rPr>
          <w:rFonts w:ascii="Verdana" w:hAnsi="Verdana"/>
          <w:lang w:eastAsia="en-US"/>
        </w:rPr>
        <w:t xml:space="preserve"> und pra</w:t>
      </w:r>
      <w:r w:rsidR="00DF7E8D">
        <w:rPr>
          <w:rFonts w:ascii="Verdana" w:hAnsi="Verdana"/>
          <w:lang w:eastAsia="en-US"/>
        </w:rPr>
        <w:t xml:space="preserve">ktische Übungen stehen vor Ort </w:t>
      </w:r>
      <w:proofErr w:type="spellStart"/>
      <w:r w:rsidR="00DF7E8D">
        <w:rPr>
          <w:rFonts w:ascii="Verdana" w:hAnsi="Verdana"/>
          <w:lang w:eastAsia="en-US"/>
        </w:rPr>
        <w:t>T</w:t>
      </w:r>
      <w:r w:rsidR="00B23563">
        <w:rPr>
          <w:rFonts w:ascii="Verdana" w:hAnsi="Verdana"/>
          <w:lang w:eastAsia="en-US"/>
        </w:rPr>
        <w:t>ecalor</w:t>
      </w:r>
      <w:proofErr w:type="spellEnd"/>
      <w:r w:rsidR="00B23563">
        <w:rPr>
          <w:rFonts w:ascii="Verdana" w:hAnsi="Verdana"/>
          <w:lang w:eastAsia="en-US"/>
        </w:rPr>
        <w:t>-</w:t>
      </w:r>
      <w:r w:rsidR="00DF7E8D" w:rsidRPr="00DF7E8D">
        <w:rPr>
          <w:rFonts w:ascii="Verdana" w:hAnsi="Verdana"/>
          <w:lang w:eastAsia="en-US"/>
        </w:rPr>
        <w:t xml:space="preserve">Anlagen zur Verfügung. </w:t>
      </w:r>
      <w:r w:rsidR="00FB5A16">
        <w:rPr>
          <w:rFonts w:ascii="Verdana" w:hAnsi="Verdana"/>
        </w:rPr>
        <w:t xml:space="preserve">(Bildquelle: </w:t>
      </w:r>
      <w:proofErr w:type="spellStart"/>
      <w:r w:rsidR="00FB5A16">
        <w:rPr>
          <w:rFonts w:ascii="Verdana" w:hAnsi="Verdana"/>
        </w:rPr>
        <w:t>T</w:t>
      </w:r>
      <w:r>
        <w:rPr>
          <w:rFonts w:ascii="Verdana" w:hAnsi="Verdana"/>
        </w:rPr>
        <w:t>ecalor</w:t>
      </w:r>
      <w:proofErr w:type="spellEnd"/>
      <w:r>
        <w:rPr>
          <w:rFonts w:ascii="Verdana" w:hAnsi="Verdana"/>
        </w:rPr>
        <w:t xml:space="preserve">) </w:t>
      </w:r>
    </w:p>
    <w:sectPr w:rsidR="006B4B9E" w:rsidRPr="006B4B9E" w:rsidSect="004C231C">
      <w:headerReference w:type="default" r:id="rId9"/>
      <w:pgSz w:w="11906" w:h="16838"/>
      <w:pgMar w:top="2811"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44BDF" w15:done="0"/>
  <w15:commentEx w15:paraId="12982670" w15:done="0"/>
  <w15:commentEx w15:paraId="068CB45D" w15:done="0"/>
  <w15:commentEx w15:paraId="705D9B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4BDF" w16cid:durableId="1F843635"/>
  <w16cid:commentId w16cid:paraId="12982670" w16cid:durableId="1F843F38"/>
  <w16cid:commentId w16cid:paraId="068CB45D" w16cid:durableId="1F8438BC"/>
  <w16cid:commentId w16cid:paraId="705D9B50" w16cid:durableId="1F844A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63" w:rsidRDefault="00B23563" w:rsidP="004C231C">
      <w:r>
        <w:separator/>
      </w:r>
    </w:p>
  </w:endnote>
  <w:endnote w:type="continuationSeparator" w:id="0">
    <w:p w:rsidR="00B23563" w:rsidRDefault="00B23563"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63" w:rsidRDefault="00B23563" w:rsidP="004C231C">
      <w:r>
        <w:separator/>
      </w:r>
    </w:p>
  </w:footnote>
  <w:footnote w:type="continuationSeparator" w:id="0">
    <w:p w:rsidR="00B23563" w:rsidRDefault="00B23563"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63" w:rsidRDefault="00B23563">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793255"/>
    <w:multiLevelType w:val="hybridMultilevel"/>
    <w:tmpl w:val="18F0FDBC"/>
    <w:lvl w:ilvl="0" w:tplc="A0B2483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B53DE8"/>
    <w:rsid w:val="0000564A"/>
    <w:rsid w:val="000062FD"/>
    <w:rsid w:val="00007F1D"/>
    <w:rsid w:val="00030376"/>
    <w:rsid w:val="00032408"/>
    <w:rsid w:val="000405B2"/>
    <w:rsid w:val="00040C77"/>
    <w:rsid w:val="0005519A"/>
    <w:rsid w:val="00066BBC"/>
    <w:rsid w:val="00066EBF"/>
    <w:rsid w:val="000A16B2"/>
    <w:rsid w:val="000A6B09"/>
    <w:rsid w:val="000C4B30"/>
    <w:rsid w:val="001032CD"/>
    <w:rsid w:val="00104DD3"/>
    <w:rsid w:val="001064B3"/>
    <w:rsid w:val="00121BF6"/>
    <w:rsid w:val="00134994"/>
    <w:rsid w:val="00135DBF"/>
    <w:rsid w:val="00177516"/>
    <w:rsid w:val="00184026"/>
    <w:rsid w:val="00186C65"/>
    <w:rsid w:val="00192B38"/>
    <w:rsid w:val="001A1B4E"/>
    <w:rsid w:val="001A631E"/>
    <w:rsid w:val="001D1E8E"/>
    <w:rsid w:val="001D3FEB"/>
    <w:rsid w:val="001E49D0"/>
    <w:rsid w:val="001E7686"/>
    <w:rsid w:val="00201DA5"/>
    <w:rsid w:val="00207EC1"/>
    <w:rsid w:val="00217942"/>
    <w:rsid w:val="0022099E"/>
    <w:rsid w:val="00264CA9"/>
    <w:rsid w:val="00272E7B"/>
    <w:rsid w:val="002901D9"/>
    <w:rsid w:val="00301576"/>
    <w:rsid w:val="003200BC"/>
    <w:rsid w:val="00326F6E"/>
    <w:rsid w:val="003457B3"/>
    <w:rsid w:val="00357604"/>
    <w:rsid w:val="00365A17"/>
    <w:rsid w:val="00370AB8"/>
    <w:rsid w:val="00373E3A"/>
    <w:rsid w:val="00373F31"/>
    <w:rsid w:val="0039606B"/>
    <w:rsid w:val="003A0298"/>
    <w:rsid w:val="003A7079"/>
    <w:rsid w:val="003B2E8F"/>
    <w:rsid w:val="003F5EBB"/>
    <w:rsid w:val="00414059"/>
    <w:rsid w:val="00425A8C"/>
    <w:rsid w:val="00445925"/>
    <w:rsid w:val="004507DA"/>
    <w:rsid w:val="00463158"/>
    <w:rsid w:val="0047247F"/>
    <w:rsid w:val="00490732"/>
    <w:rsid w:val="0049261C"/>
    <w:rsid w:val="004B63A0"/>
    <w:rsid w:val="004C231C"/>
    <w:rsid w:val="004C7377"/>
    <w:rsid w:val="004C7B8E"/>
    <w:rsid w:val="004F782A"/>
    <w:rsid w:val="005221FF"/>
    <w:rsid w:val="00544A56"/>
    <w:rsid w:val="005545C4"/>
    <w:rsid w:val="005700EF"/>
    <w:rsid w:val="005854A6"/>
    <w:rsid w:val="005A077B"/>
    <w:rsid w:val="005A2B3F"/>
    <w:rsid w:val="005B656D"/>
    <w:rsid w:val="005B68FE"/>
    <w:rsid w:val="005B7C20"/>
    <w:rsid w:val="005C212A"/>
    <w:rsid w:val="005C4A2B"/>
    <w:rsid w:val="005D54D8"/>
    <w:rsid w:val="005D5759"/>
    <w:rsid w:val="0060599B"/>
    <w:rsid w:val="00625BB2"/>
    <w:rsid w:val="0064146D"/>
    <w:rsid w:val="00644A2E"/>
    <w:rsid w:val="006475B3"/>
    <w:rsid w:val="00665169"/>
    <w:rsid w:val="00680D4C"/>
    <w:rsid w:val="006A106F"/>
    <w:rsid w:val="006B14E2"/>
    <w:rsid w:val="006B4B9E"/>
    <w:rsid w:val="006B50FC"/>
    <w:rsid w:val="006C47E5"/>
    <w:rsid w:val="006D7209"/>
    <w:rsid w:val="006E34D5"/>
    <w:rsid w:val="006F2C04"/>
    <w:rsid w:val="0071173C"/>
    <w:rsid w:val="00731B4D"/>
    <w:rsid w:val="00760911"/>
    <w:rsid w:val="00763387"/>
    <w:rsid w:val="00763EDB"/>
    <w:rsid w:val="00770B6F"/>
    <w:rsid w:val="007903AF"/>
    <w:rsid w:val="007941CD"/>
    <w:rsid w:val="007A08B9"/>
    <w:rsid w:val="007B4146"/>
    <w:rsid w:val="007D4B89"/>
    <w:rsid w:val="007E0B15"/>
    <w:rsid w:val="007F0749"/>
    <w:rsid w:val="007F3AE4"/>
    <w:rsid w:val="007F5D52"/>
    <w:rsid w:val="008012FE"/>
    <w:rsid w:val="008316D0"/>
    <w:rsid w:val="00833415"/>
    <w:rsid w:val="008778F9"/>
    <w:rsid w:val="008B5F42"/>
    <w:rsid w:val="008C318B"/>
    <w:rsid w:val="008F7420"/>
    <w:rsid w:val="00900C51"/>
    <w:rsid w:val="00912BA0"/>
    <w:rsid w:val="00924482"/>
    <w:rsid w:val="009539FD"/>
    <w:rsid w:val="00960FF2"/>
    <w:rsid w:val="0096655F"/>
    <w:rsid w:val="009729D6"/>
    <w:rsid w:val="00977034"/>
    <w:rsid w:val="009B3DA1"/>
    <w:rsid w:val="009C7D35"/>
    <w:rsid w:val="009E4184"/>
    <w:rsid w:val="009F5520"/>
    <w:rsid w:val="00A05B16"/>
    <w:rsid w:val="00A157C9"/>
    <w:rsid w:val="00A26A8B"/>
    <w:rsid w:val="00A743C1"/>
    <w:rsid w:val="00B001B6"/>
    <w:rsid w:val="00B07849"/>
    <w:rsid w:val="00B23563"/>
    <w:rsid w:val="00B23A48"/>
    <w:rsid w:val="00B424DC"/>
    <w:rsid w:val="00B47190"/>
    <w:rsid w:val="00B53DE8"/>
    <w:rsid w:val="00B53E54"/>
    <w:rsid w:val="00B76308"/>
    <w:rsid w:val="00BA29FA"/>
    <w:rsid w:val="00BB4DB4"/>
    <w:rsid w:val="00BC0784"/>
    <w:rsid w:val="00BE02E3"/>
    <w:rsid w:val="00BE2CF4"/>
    <w:rsid w:val="00C25793"/>
    <w:rsid w:val="00C360FE"/>
    <w:rsid w:val="00C75ADD"/>
    <w:rsid w:val="00C93509"/>
    <w:rsid w:val="00C962AF"/>
    <w:rsid w:val="00C96AD7"/>
    <w:rsid w:val="00D077D6"/>
    <w:rsid w:val="00D20EF8"/>
    <w:rsid w:val="00D24145"/>
    <w:rsid w:val="00D52B14"/>
    <w:rsid w:val="00D62AE5"/>
    <w:rsid w:val="00D678FD"/>
    <w:rsid w:val="00D80023"/>
    <w:rsid w:val="00DB50B4"/>
    <w:rsid w:val="00DD36C1"/>
    <w:rsid w:val="00DF7E8D"/>
    <w:rsid w:val="00E00293"/>
    <w:rsid w:val="00E023B3"/>
    <w:rsid w:val="00E16AB3"/>
    <w:rsid w:val="00E51AD8"/>
    <w:rsid w:val="00E711A2"/>
    <w:rsid w:val="00E95154"/>
    <w:rsid w:val="00EC0EBA"/>
    <w:rsid w:val="00ED1C80"/>
    <w:rsid w:val="00EE11CC"/>
    <w:rsid w:val="00F0065F"/>
    <w:rsid w:val="00F108BC"/>
    <w:rsid w:val="00F138B2"/>
    <w:rsid w:val="00F2705A"/>
    <w:rsid w:val="00F35468"/>
    <w:rsid w:val="00F46AE6"/>
    <w:rsid w:val="00FB1F6F"/>
    <w:rsid w:val="00FB5A16"/>
    <w:rsid w:val="00FB68D9"/>
    <w:rsid w:val="00FC6193"/>
    <w:rsid w:val="00FD227C"/>
    <w:rsid w:val="00FD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2874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3324</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2018-11-16T08:42:00Z</dcterms:created>
  <dcterms:modified xsi:type="dcterms:W3CDTF">2018-11-22T09:39:00Z</dcterms:modified>
</cp:coreProperties>
</file>